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57CAA" w14:textId="6E63D494" w:rsidR="007A7D7D" w:rsidRPr="007A7D7D" w:rsidRDefault="00C54B97" w:rsidP="00C54B97">
      <w:pPr>
        <w:pStyle w:val="Default"/>
        <w:rPr>
          <w:b/>
          <w:bCs/>
          <w:color w:val="FF0000"/>
          <w:sz w:val="22"/>
          <w:szCs w:val="22"/>
        </w:rPr>
      </w:pPr>
      <w:r w:rsidRPr="008D5733">
        <w:rPr>
          <w:b/>
          <w:bCs/>
          <w:noProof/>
          <w:color w:val="FF0000"/>
          <w:sz w:val="22"/>
          <w:szCs w:val="22"/>
        </w:rPr>
        <w:drawing>
          <wp:anchor distT="0" distB="0" distL="114300" distR="114300" simplePos="0" relativeHeight="251658240" behindDoc="1" locked="0" layoutInCell="1" allowOverlap="1" wp14:anchorId="2580C02D" wp14:editId="0380FBB9">
            <wp:simplePos x="0" y="0"/>
            <wp:positionH relativeFrom="page">
              <wp:posOffset>4524375</wp:posOffset>
            </wp:positionH>
            <wp:positionV relativeFrom="paragraph">
              <wp:posOffset>0</wp:posOffset>
            </wp:positionV>
            <wp:extent cx="3076575" cy="262255"/>
            <wp:effectExtent l="0" t="0" r="9525" b="4445"/>
            <wp:wrapTight wrapText="bothSides">
              <wp:wrapPolygon edited="0">
                <wp:start x="0" y="0"/>
                <wp:lineTo x="0" y="20397"/>
                <wp:lineTo x="21533" y="20397"/>
                <wp:lineTo x="21533" y="0"/>
                <wp:lineTo x="0" y="0"/>
              </wp:wrapPolygon>
            </wp:wrapTight>
            <wp:docPr id="1" name="Picture 1" descr="H:\jpmDesk\Desktop\Background Materials\Logos\_JPMC_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pmDesk\Desktop\Background Materials\Logos\_JPMC_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26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8B5">
        <w:rPr>
          <w:b/>
          <w:bCs/>
          <w:sz w:val="22"/>
          <w:szCs w:val="22"/>
        </w:rPr>
        <w:t xml:space="preserve">JPMorgan </w:t>
      </w:r>
      <w:r w:rsidR="008F25B9">
        <w:rPr>
          <w:b/>
          <w:bCs/>
          <w:sz w:val="22"/>
          <w:szCs w:val="22"/>
        </w:rPr>
        <w:t xml:space="preserve">Chase media contact: </w:t>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p>
    <w:p w14:paraId="7FD2E259" w14:textId="45F10482" w:rsidR="008F25B9" w:rsidRPr="00673EA5" w:rsidRDefault="008F25B9" w:rsidP="00C54B97">
      <w:pPr>
        <w:pStyle w:val="Default"/>
        <w:rPr>
          <w:sz w:val="22"/>
          <w:szCs w:val="22"/>
        </w:rPr>
      </w:pPr>
      <w:r w:rsidRPr="00673EA5">
        <w:rPr>
          <w:color w:val="000000" w:themeColor="text1"/>
          <w:sz w:val="22"/>
          <w:szCs w:val="22"/>
        </w:rPr>
        <w:t>Brian Hanover</w:t>
      </w:r>
    </w:p>
    <w:p w14:paraId="58425A5B" w14:textId="046282C4" w:rsidR="008F25B9" w:rsidRDefault="008F25B9" w:rsidP="008F25B9">
      <w:pPr>
        <w:pStyle w:val="Default"/>
        <w:rPr>
          <w:sz w:val="22"/>
          <w:szCs w:val="22"/>
        </w:rPr>
      </w:pPr>
      <w:r>
        <w:rPr>
          <w:rStyle w:val="Hyperlink"/>
          <w:b/>
          <w:bCs/>
          <w:sz w:val="22"/>
          <w:szCs w:val="22"/>
        </w:rPr>
        <w:t>brian.s.hanover@chase.com</w:t>
      </w:r>
      <w:r>
        <w:rPr>
          <w:b/>
          <w:bCs/>
          <w:sz w:val="22"/>
          <w:szCs w:val="22"/>
        </w:rPr>
        <w:t xml:space="preserve"> </w:t>
      </w:r>
    </w:p>
    <w:p w14:paraId="06014422" w14:textId="77777777" w:rsidR="007A7D7D" w:rsidRDefault="007A7D7D" w:rsidP="007A7D7D">
      <w:pPr>
        <w:rPr>
          <w:rFonts w:cstheme="minorHAnsi"/>
          <w:b/>
          <w:bCs/>
        </w:rPr>
      </w:pPr>
    </w:p>
    <w:p w14:paraId="799F8E36" w14:textId="4D6AD97C" w:rsidR="007A7D7D" w:rsidRDefault="007A7D7D" w:rsidP="007A7D7D">
      <w:pPr>
        <w:rPr>
          <w:rFonts w:cstheme="minorHAnsi"/>
          <w:bCs/>
        </w:rPr>
      </w:pPr>
      <w:r>
        <w:rPr>
          <w:rFonts w:cstheme="minorHAnsi"/>
          <w:bCs/>
        </w:rPr>
        <w:t>Amalia Kontesi</w:t>
      </w:r>
    </w:p>
    <w:p w14:paraId="791FA0DB" w14:textId="324CD3A2" w:rsidR="007A7D7D" w:rsidRPr="007A7D7D" w:rsidRDefault="00194688" w:rsidP="007A7D7D">
      <w:pPr>
        <w:rPr>
          <w:rFonts w:cstheme="minorHAnsi"/>
          <w:b/>
          <w:bCs/>
        </w:rPr>
      </w:pPr>
      <w:hyperlink r:id="rId9" w:history="1">
        <w:r w:rsidR="007A7D7D" w:rsidRPr="001923D9">
          <w:rPr>
            <w:rStyle w:val="Hyperlink"/>
            <w:rFonts w:cstheme="minorHAnsi"/>
            <w:b/>
            <w:bCs/>
          </w:rPr>
          <w:t>amalia.kontesi@jpmchase.com</w:t>
        </w:r>
      </w:hyperlink>
      <w:r w:rsidR="007A7D7D" w:rsidRPr="007A7D7D">
        <w:rPr>
          <w:rFonts w:cstheme="minorHAnsi"/>
          <w:b/>
          <w:bCs/>
        </w:rPr>
        <w:t xml:space="preserve"> </w:t>
      </w:r>
    </w:p>
    <w:p w14:paraId="42592426" w14:textId="77777777" w:rsidR="008F25B9" w:rsidRDefault="008F25B9" w:rsidP="008F25B9">
      <w:pPr>
        <w:rPr>
          <w:rFonts w:cstheme="minorHAnsi"/>
          <w:b/>
          <w:bCs/>
        </w:rPr>
      </w:pPr>
    </w:p>
    <w:p w14:paraId="71D06852" w14:textId="62877B53" w:rsidR="00AD39B7" w:rsidRDefault="002A08CA" w:rsidP="00AD39B7">
      <w:pPr>
        <w:jc w:val="center"/>
        <w:rPr>
          <w:b/>
          <w:bCs/>
        </w:rPr>
      </w:pPr>
      <w:r>
        <w:rPr>
          <w:b/>
          <w:bCs/>
        </w:rPr>
        <w:t>Chicago Receives $7.2</w:t>
      </w:r>
      <w:r w:rsidR="00E96A3A">
        <w:rPr>
          <w:b/>
          <w:bCs/>
        </w:rPr>
        <w:t xml:space="preserve"> Million from</w:t>
      </w:r>
      <w:r w:rsidR="00AD39B7">
        <w:rPr>
          <w:b/>
          <w:bCs/>
        </w:rPr>
        <w:t xml:space="preserve"> JPMorgan Chase’s </w:t>
      </w:r>
      <w:proofErr w:type="spellStart"/>
      <w:r w:rsidR="00AD39B7">
        <w:rPr>
          <w:b/>
          <w:bCs/>
          <w:i/>
          <w:iCs/>
        </w:rPr>
        <w:t>Advancing</w:t>
      </w:r>
      <w:r w:rsidR="00C022B6">
        <w:rPr>
          <w:b/>
          <w:bCs/>
        </w:rPr>
        <w:t>Cities</w:t>
      </w:r>
      <w:proofErr w:type="spellEnd"/>
      <w:r w:rsidR="00C022B6">
        <w:rPr>
          <w:b/>
          <w:bCs/>
        </w:rPr>
        <w:t xml:space="preserve"> Challenge</w:t>
      </w:r>
      <w:r w:rsidR="00030DCC">
        <w:rPr>
          <w:b/>
          <w:bCs/>
        </w:rPr>
        <w:t xml:space="preserve"> to Improve Access to Affordable Housing </w:t>
      </w:r>
      <w:r w:rsidR="003805D1">
        <w:rPr>
          <w:b/>
          <w:bCs/>
        </w:rPr>
        <w:t>in</w:t>
      </w:r>
      <w:r w:rsidR="00030DCC">
        <w:rPr>
          <w:b/>
          <w:bCs/>
        </w:rPr>
        <w:t xml:space="preserve"> Black and Latin</w:t>
      </w:r>
      <w:r w:rsidR="00FB3A0E">
        <w:rPr>
          <w:b/>
          <w:bCs/>
        </w:rPr>
        <w:t>o</w:t>
      </w:r>
      <w:r w:rsidR="00030DCC">
        <w:rPr>
          <w:b/>
          <w:bCs/>
        </w:rPr>
        <w:t xml:space="preserve"> Communities</w:t>
      </w:r>
      <w:r w:rsidR="00091839">
        <w:rPr>
          <w:b/>
          <w:bCs/>
        </w:rPr>
        <w:t xml:space="preserve"> </w:t>
      </w:r>
    </w:p>
    <w:p w14:paraId="633F06C0" w14:textId="77777777" w:rsidR="00AD39B7" w:rsidRDefault="00AD39B7" w:rsidP="00F80F1A">
      <w:pPr>
        <w:jc w:val="center"/>
        <w:rPr>
          <w:i/>
          <w:iCs/>
        </w:rPr>
      </w:pPr>
    </w:p>
    <w:p w14:paraId="721FD93D" w14:textId="4CF90A1A" w:rsidR="00AF2292" w:rsidRPr="001225CD" w:rsidRDefault="00CB012F" w:rsidP="00C022B6">
      <w:pPr>
        <w:jc w:val="center"/>
        <w:rPr>
          <w:i/>
          <w:iCs/>
        </w:rPr>
      </w:pPr>
      <w:r>
        <w:rPr>
          <w:i/>
          <w:iCs/>
        </w:rPr>
        <w:t>S</w:t>
      </w:r>
      <w:r w:rsidR="00A75E97">
        <w:rPr>
          <w:i/>
          <w:iCs/>
        </w:rPr>
        <w:t>even</w:t>
      </w:r>
      <w:r w:rsidR="00673EA5">
        <w:rPr>
          <w:i/>
          <w:iCs/>
        </w:rPr>
        <w:t xml:space="preserve"> organizations</w:t>
      </w:r>
      <w:r w:rsidR="003C1462">
        <w:rPr>
          <w:i/>
          <w:iCs/>
        </w:rPr>
        <w:t xml:space="preserve"> aim to </w:t>
      </w:r>
      <w:r>
        <w:rPr>
          <w:i/>
          <w:iCs/>
        </w:rPr>
        <w:t>address underinvestment and</w:t>
      </w:r>
      <w:r w:rsidR="00A422C4">
        <w:rPr>
          <w:i/>
          <w:iCs/>
        </w:rPr>
        <w:t xml:space="preserve"> the disproportionate impact of COVID-19 on South and West side Chicagoans</w:t>
      </w:r>
      <w:r w:rsidR="00C022B6">
        <w:rPr>
          <w:i/>
          <w:iCs/>
        </w:rPr>
        <w:t xml:space="preserve"> through </w:t>
      </w:r>
      <w:r w:rsidR="00091839">
        <w:rPr>
          <w:i/>
          <w:iCs/>
        </w:rPr>
        <w:t xml:space="preserve">modular housing, financial </w:t>
      </w:r>
      <w:r w:rsidR="00091839" w:rsidRPr="00091839">
        <w:rPr>
          <w:i/>
          <w:iCs/>
        </w:rPr>
        <w:t xml:space="preserve">products and </w:t>
      </w:r>
      <w:r w:rsidR="00C022B6">
        <w:rPr>
          <w:i/>
          <w:iCs/>
        </w:rPr>
        <w:t xml:space="preserve">community </w:t>
      </w:r>
      <w:r w:rsidR="00FE151A">
        <w:rPr>
          <w:i/>
          <w:iCs/>
        </w:rPr>
        <w:t>leadership development</w:t>
      </w:r>
      <w:r w:rsidR="00C022B6">
        <w:rPr>
          <w:i/>
          <w:iCs/>
        </w:rPr>
        <w:t xml:space="preserve"> trainings</w:t>
      </w:r>
    </w:p>
    <w:p w14:paraId="4357651D" w14:textId="77777777" w:rsidR="00C31DDA" w:rsidRDefault="00C31DDA" w:rsidP="002D288F">
      <w:pPr>
        <w:rPr>
          <w:rFonts w:cstheme="minorHAnsi"/>
          <w:b/>
          <w:bCs/>
        </w:rPr>
      </w:pPr>
    </w:p>
    <w:p w14:paraId="1F3724DB" w14:textId="14DA0330" w:rsidR="00AD39B7" w:rsidRDefault="00BE10F5" w:rsidP="00916FB2">
      <w:pPr>
        <w:rPr>
          <w:iCs/>
        </w:rPr>
      </w:pPr>
      <w:r w:rsidRPr="000152F4">
        <w:rPr>
          <w:b/>
          <w:bCs/>
          <w:color w:val="000000" w:themeColor="text1"/>
        </w:rPr>
        <w:t>CHICAGO</w:t>
      </w:r>
      <w:r w:rsidR="00870470" w:rsidRPr="000152F4">
        <w:rPr>
          <w:b/>
          <w:bCs/>
          <w:color w:val="000000" w:themeColor="text1"/>
        </w:rPr>
        <w:t xml:space="preserve">, </w:t>
      </w:r>
      <w:r w:rsidRPr="000152F4">
        <w:rPr>
          <w:b/>
          <w:bCs/>
          <w:color w:val="000000" w:themeColor="text1"/>
        </w:rPr>
        <w:t>December</w:t>
      </w:r>
      <w:r w:rsidR="00870470" w:rsidRPr="000152F4">
        <w:rPr>
          <w:b/>
          <w:bCs/>
          <w:color w:val="000000" w:themeColor="text1"/>
        </w:rPr>
        <w:t xml:space="preserve"> </w:t>
      </w:r>
      <w:r w:rsidR="000152F4" w:rsidRPr="000152F4">
        <w:rPr>
          <w:b/>
          <w:bCs/>
          <w:color w:val="000000" w:themeColor="text1"/>
        </w:rPr>
        <w:t>3</w:t>
      </w:r>
      <w:r w:rsidR="00870470" w:rsidRPr="000152F4">
        <w:rPr>
          <w:b/>
          <w:bCs/>
          <w:color w:val="000000" w:themeColor="text1"/>
        </w:rPr>
        <w:t>, 2020</w:t>
      </w:r>
      <w:r w:rsidR="00916FB2" w:rsidRPr="000152F4">
        <w:t>—</w:t>
      </w:r>
      <w:r w:rsidR="00916FB2" w:rsidRPr="000152F4">
        <w:rPr>
          <w:iCs/>
        </w:rPr>
        <w:t xml:space="preserve">JPMorgan Chase today announced </w:t>
      </w:r>
      <w:r w:rsidR="00706268" w:rsidRPr="000152F4">
        <w:rPr>
          <w:iCs/>
        </w:rPr>
        <w:t>Chicago</w:t>
      </w:r>
      <w:r w:rsidR="00916FB2" w:rsidRPr="000152F4">
        <w:rPr>
          <w:iCs/>
        </w:rPr>
        <w:t xml:space="preserve"> is one of </w:t>
      </w:r>
      <w:r w:rsidR="001E7227" w:rsidRPr="000152F4">
        <w:rPr>
          <w:iCs/>
        </w:rPr>
        <w:t>seven</w:t>
      </w:r>
      <w:r w:rsidR="00916FB2" w:rsidRPr="000152F4">
        <w:rPr>
          <w:iCs/>
        </w:rPr>
        <w:t xml:space="preserve"> winning cities in its </w:t>
      </w:r>
      <w:proofErr w:type="spellStart"/>
      <w:r w:rsidR="00916FB2" w:rsidRPr="000152F4">
        <w:rPr>
          <w:i/>
          <w:iCs/>
        </w:rPr>
        <w:t>A</w:t>
      </w:r>
      <w:r w:rsidR="00916FB2" w:rsidRPr="000152F4">
        <w:rPr>
          <w:rFonts w:cstheme="minorHAnsi"/>
          <w:i/>
          <w:iCs/>
        </w:rPr>
        <w:t>dvancing</w:t>
      </w:r>
      <w:r w:rsidR="00916FB2" w:rsidRPr="000152F4">
        <w:rPr>
          <w:rFonts w:cstheme="minorHAnsi"/>
          <w:iCs/>
        </w:rPr>
        <w:t>Cities</w:t>
      </w:r>
      <w:proofErr w:type="spellEnd"/>
      <w:r w:rsidR="00916FB2" w:rsidRPr="000152F4">
        <w:rPr>
          <w:rFonts w:cstheme="minorHAnsi"/>
          <w:iCs/>
        </w:rPr>
        <w:t xml:space="preserve"> Challenge</w:t>
      </w:r>
      <w:r w:rsidR="00916FB2" w:rsidRPr="000152F4">
        <w:rPr>
          <w:iCs/>
        </w:rPr>
        <w:t xml:space="preserve">, part of </w:t>
      </w:r>
      <w:r w:rsidR="006F52F8" w:rsidRPr="000152F4">
        <w:rPr>
          <w:iCs/>
        </w:rPr>
        <w:t xml:space="preserve">the firm’s </w:t>
      </w:r>
      <w:r w:rsidR="00916FB2" w:rsidRPr="000152F4">
        <w:rPr>
          <w:iCs/>
        </w:rPr>
        <w:t xml:space="preserve">$500 million, five-year initiative to drive inclusive growth and create greater economic opportunity in cities. </w:t>
      </w:r>
      <w:r w:rsidR="00A33CD1" w:rsidRPr="000152F4">
        <w:t xml:space="preserve">A </w:t>
      </w:r>
      <w:r w:rsidR="00673EA5" w:rsidRPr="000152F4">
        <w:t>collaborative</w:t>
      </w:r>
      <w:r w:rsidR="00A33CD1" w:rsidRPr="000152F4">
        <w:t xml:space="preserve"> of </w:t>
      </w:r>
      <w:r w:rsidR="000B4C32" w:rsidRPr="000152F4">
        <w:t>seven</w:t>
      </w:r>
      <w:r w:rsidR="00A33CD1" w:rsidRPr="000152F4">
        <w:t xml:space="preserve"> organizations</w:t>
      </w:r>
      <w:r w:rsidR="00673EA5" w:rsidRPr="000152F4">
        <w:t xml:space="preserve"> </w:t>
      </w:r>
      <w:r w:rsidR="00673EA5" w:rsidRPr="000152F4">
        <w:rPr>
          <w:iCs/>
        </w:rPr>
        <w:t xml:space="preserve">will </w:t>
      </w:r>
      <w:r w:rsidR="00706268" w:rsidRPr="000152F4">
        <w:rPr>
          <w:iCs/>
        </w:rPr>
        <w:t>receive</w:t>
      </w:r>
      <w:r w:rsidR="004A34C4" w:rsidRPr="000152F4">
        <w:rPr>
          <w:iCs/>
        </w:rPr>
        <w:t xml:space="preserve"> a</w:t>
      </w:r>
      <w:r w:rsidR="00706268" w:rsidRPr="000152F4">
        <w:rPr>
          <w:iCs/>
        </w:rPr>
        <w:t xml:space="preserve"> $7.2</w:t>
      </w:r>
      <w:r w:rsidR="00673EA5" w:rsidRPr="000152F4">
        <w:rPr>
          <w:iCs/>
        </w:rPr>
        <w:t xml:space="preserve"> million</w:t>
      </w:r>
      <w:r w:rsidR="004A34C4" w:rsidRPr="000152F4">
        <w:rPr>
          <w:iCs/>
        </w:rPr>
        <w:t xml:space="preserve"> philanthropic </w:t>
      </w:r>
      <w:r w:rsidR="00FE151A">
        <w:rPr>
          <w:iCs/>
        </w:rPr>
        <w:t>investment</w:t>
      </w:r>
      <w:r w:rsidR="00332E7C" w:rsidRPr="000152F4">
        <w:rPr>
          <w:iCs/>
        </w:rPr>
        <w:t xml:space="preserve"> </w:t>
      </w:r>
      <w:r w:rsidR="00706268" w:rsidRPr="000152F4">
        <w:rPr>
          <w:iCs/>
        </w:rPr>
        <w:t xml:space="preserve">to </w:t>
      </w:r>
      <w:r w:rsidR="00FE151A">
        <w:rPr>
          <w:iCs/>
        </w:rPr>
        <w:t xml:space="preserve">boost </w:t>
      </w:r>
      <w:r w:rsidR="003805D1" w:rsidRPr="000152F4">
        <w:rPr>
          <w:iCs/>
        </w:rPr>
        <w:t>long-term homeownership through innovative</w:t>
      </w:r>
      <w:r w:rsidR="00FE151A">
        <w:rPr>
          <w:iCs/>
        </w:rPr>
        <w:t xml:space="preserve"> new modular home construction, and</w:t>
      </w:r>
      <w:r w:rsidR="003805D1" w:rsidRPr="000152F4">
        <w:rPr>
          <w:iCs/>
        </w:rPr>
        <w:t xml:space="preserve"> financial products</w:t>
      </w:r>
      <w:r w:rsidR="00FE151A">
        <w:rPr>
          <w:iCs/>
        </w:rPr>
        <w:t xml:space="preserve"> and coaching </w:t>
      </w:r>
      <w:r w:rsidR="00706268" w:rsidRPr="000152F4">
        <w:rPr>
          <w:iCs/>
        </w:rPr>
        <w:t xml:space="preserve">in </w:t>
      </w:r>
      <w:r w:rsidR="00030DCC" w:rsidRPr="000152F4">
        <w:rPr>
          <w:iCs/>
        </w:rPr>
        <w:t xml:space="preserve">South and West side </w:t>
      </w:r>
      <w:r w:rsidR="00A422C4" w:rsidRPr="000152F4">
        <w:rPr>
          <w:iCs/>
        </w:rPr>
        <w:t>neighborhoods</w:t>
      </w:r>
      <w:r w:rsidR="000F5CAB" w:rsidRPr="000152F4">
        <w:rPr>
          <w:iCs/>
        </w:rPr>
        <w:t xml:space="preserve">, </w:t>
      </w:r>
      <w:r w:rsidR="004A34C4" w:rsidRPr="000152F4">
        <w:rPr>
          <w:iCs/>
        </w:rPr>
        <w:t xml:space="preserve">including </w:t>
      </w:r>
      <w:r w:rsidR="004A34C4" w:rsidRPr="000152F4">
        <w:t>Back of the Yard</w:t>
      </w:r>
      <w:r w:rsidR="003805D1" w:rsidRPr="000152F4">
        <w:t>s</w:t>
      </w:r>
      <w:r w:rsidR="004A34C4" w:rsidRPr="000152F4">
        <w:t>, North Lawndale, and Chicago Lawn</w:t>
      </w:r>
      <w:r w:rsidR="000F5CAB" w:rsidRPr="000152F4">
        <w:rPr>
          <w:iCs/>
        </w:rPr>
        <w:t>.</w:t>
      </w:r>
      <w:r w:rsidR="000F5CAB">
        <w:rPr>
          <w:iCs/>
        </w:rPr>
        <w:t xml:space="preserve"> </w:t>
      </w:r>
    </w:p>
    <w:p w14:paraId="7B7A7B51" w14:textId="77777777" w:rsidR="00B54FF2" w:rsidRDefault="00B54FF2" w:rsidP="00916FB2">
      <w:pPr>
        <w:rPr>
          <w:iCs/>
        </w:rPr>
      </w:pPr>
    </w:p>
    <w:p w14:paraId="50E9D7CB" w14:textId="36862D7F" w:rsidR="00AD39B7" w:rsidRDefault="00AD39B7" w:rsidP="00C56BFE">
      <w:r>
        <w:t xml:space="preserve">This </w:t>
      </w:r>
      <w:r w:rsidR="00FE151A">
        <w:t>commitment</w:t>
      </w:r>
      <w:r w:rsidR="009F5FFA">
        <w:t xml:space="preserve"> </w:t>
      </w:r>
      <w:r w:rsidR="00030DCC">
        <w:t xml:space="preserve">will support the creation </w:t>
      </w:r>
      <w:r w:rsidR="000D4DDF">
        <w:t xml:space="preserve">and preservation </w:t>
      </w:r>
      <w:r w:rsidR="00030DCC" w:rsidRPr="000A7511">
        <w:t xml:space="preserve">of </w:t>
      </w:r>
      <w:r w:rsidR="000A7511" w:rsidRPr="000A7511">
        <w:t>over 150</w:t>
      </w:r>
      <w:r w:rsidR="000D4DDF" w:rsidRPr="000A7511">
        <w:t xml:space="preserve"> </w:t>
      </w:r>
      <w:r w:rsidR="000D4DDF">
        <w:t>affordable</w:t>
      </w:r>
      <w:r w:rsidR="00030DCC">
        <w:t xml:space="preserve"> housing units</w:t>
      </w:r>
      <w:r w:rsidR="00FE151A">
        <w:t xml:space="preserve"> for</w:t>
      </w:r>
      <w:r w:rsidR="000D4DDF">
        <w:t xml:space="preserve"> families and individuals betwe</w:t>
      </w:r>
      <w:r w:rsidR="000A7511">
        <w:t>en 60-120% area median income</w:t>
      </w:r>
      <w:r w:rsidR="000D4DDF">
        <w:t xml:space="preserve">. </w:t>
      </w:r>
      <w:r w:rsidR="00030DCC">
        <w:t xml:space="preserve">It </w:t>
      </w:r>
      <w:r>
        <w:t xml:space="preserve">builds on JPMorgan Chase’s recent </w:t>
      </w:r>
      <w:hyperlink r:id="rId10" w:history="1">
        <w:r>
          <w:rPr>
            <w:rStyle w:val="Hyperlink"/>
          </w:rPr>
          <w:t>$30 billion commitment to advance racial equity</w:t>
        </w:r>
      </w:hyperlink>
      <w:r>
        <w:t xml:space="preserve"> </w:t>
      </w:r>
      <w:r w:rsidR="00030DCC">
        <w:t>and</w:t>
      </w:r>
      <w:r w:rsidR="00C56BFE">
        <w:t xml:space="preserve"> </w:t>
      </w:r>
      <w:r w:rsidR="009F5FFA">
        <w:t>aligns</w:t>
      </w:r>
      <w:r w:rsidR="00FE151A">
        <w:t xml:space="preserve"> with Chicago’s INVEST</w:t>
      </w:r>
      <w:r w:rsidR="00C56BFE">
        <w:t xml:space="preserve"> South/West plan, which seeks to invest $750 million in public funding over the next three years to attract private capital.</w:t>
      </w:r>
    </w:p>
    <w:p w14:paraId="00E4C45B" w14:textId="77777777" w:rsidR="00A07C32" w:rsidRDefault="00A07C32" w:rsidP="00AD39B7"/>
    <w:p w14:paraId="425F80D6" w14:textId="5CABCB54" w:rsidR="00EA61ED" w:rsidRPr="00C56BFE" w:rsidRDefault="007F119D">
      <w:r w:rsidRPr="00C56BFE">
        <w:t>The</w:t>
      </w:r>
      <w:r w:rsidR="00030DCC">
        <w:t xml:space="preserve"> effort will be led by The</w:t>
      </w:r>
      <w:r w:rsidRPr="00C56BFE">
        <w:t xml:space="preserve"> Resurrection </w:t>
      </w:r>
      <w:r w:rsidR="000D4DDF" w:rsidRPr="00C56BFE">
        <w:t>Project</w:t>
      </w:r>
      <w:r w:rsidRPr="00C56BFE">
        <w:t xml:space="preserve">, </w:t>
      </w:r>
      <w:r w:rsidR="00030DCC">
        <w:t>in collaboration with</w:t>
      </w:r>
      <w:r w:rsidRPr="00C56BFE">
        <w:t xml:space="preserve"> Back of the Yards Neighborhood Council, Peace and Education Coalition of the Back of the Yards</w:t>
      </w:r>
      <w:r w:rsidR="000B4C32">
        <w:t xml:space="preserve"> Neighborhood</w:t>
      </w:r>
      <w:r w:rsidRPr="00C56BFE">
        <w:t>, Precious Blood Ministry of Reconciliation,</w:t>
      </w:r>
      <w:r w:rsidR="000B4C32">
        <w:t xml:space="preserve"> </w:t>
      </w:r>
      <w:r w:rsidRPr="00C56BFE">
        <w:t>Capital Good Fund, Lawndale Christian Development Corporation, and Southwest Organizing Project</w:t>
      </w:r>
      <w:r w:rsidR="009F5FFA">
        <w:t>. Together, these organizations aim</w:t>
      </w:r>
      <w:r w:rsidRPr="00C56BFE">
        <w:t xml:space="preserve"> to </w:t>
      </w:r>
      <w:r w:rsidR="00EA61ED" w:rsidRPr="00C56BFE">
        <w:t>help strengthen recovery efforts in</w:t>
      </w:r>
      <w:r w:rsidR="00FE2CC9" w:rsidRPr="00C56BFE">
        <w:t xml:space="preserve"> Chicago</w:t>
      </w:r>
      <w:r w:rsidR="00EA61ED" w:rsidRPr="00C56BFE">
        <w:t>, and addre</w:t>
      </w:r>
      <w:r w:rsidR="00FB3A0E">
        <w:t>ss the needs of Black and Latino</w:t>
      </w:r>
      <w:r w:rsidR="00EA61ED" w:rsidRPr="00C56BFE">
        <w:t xml:space="preserve"> communities, which have </w:t>
      </w:r>
      <w:r w:rsidR="00E96A3A">
        <w:t xml:space="preserve">been </w:t>
      </w:r>
      <w:r w:rsidR="00E96A3A" w:rsidRPr="00E96A3A">
        <w:t>disproportionately affected</w:t>
      </w:r>
      <w:r w:rsidR="00E96A3A">
        <w:t xml:space="preserve"> by</w:t>
      </w:r>
      <w:r w:rsidR="00EA61ED" w:rsidRPr="00C56BFE">
        <w:t xml:space="preserve"> the COVID-19 pandemic and decades of </w:t>
      </w:r>
      <w:r w:rsidR="003805D1">
        <w:t>under</w:t>
      </w:r>
      <w:r w:rsidR="00EA61ED" w:rsidRPr="00C56BFE">
        <w:t xml:space="preserve">investment. </w:t>
      </w:r>
    </w:p>
    <w:p w14:paraId="43144D56" w14:textId="77777777" w:rsidR="00EA61ED" w:rsidRPr="00C56BFE" w:rsidRDefault="00EA61ED"/>
    <w:p w14:paraId="511929C1" w14:textId="1C7F8504" w:rsidR="004C3625" w:rsidRDefault="00C1135F">
      <w:r w:rsidRPr="00C56BFE">
        <w:t xml:space="preserve">With the </w:t>
      </w:r>
      <w:r w:rsidR="0053558C" w:rsidRPr="00C56BFE">
        <w:t xml:space="preserve">support from </w:t>
      </w:r>
      <w:r w:rsidRPr="00C56BFE">
        <w:t>JPMorgan Chase,</w:t>
      </w:r>
      <w:r w:rsidRPr="00C56BFE">
        <w:rPr>
          <w:i/>
        </w:rPr>
        <w:t xml:space="preserve"> </w:t>
      </w:r>
      <w:r w:rsidRPr="00C56BFE">
        <w:t>t</w:t>
      </w:r>
      <w:r w:rsidR="0053558C" w:rsidRPr="00C56BFE">
        <w:t xml:space="preserve">he collaborative will </w:t>
      </w:r>
      <w:r w:rsidR="00EF77DF" w:rsidRPr="00C56BFE">
        <w:t xml:space="preserve">increase </w:t>
      </w:r>
      <w:r w:rsidR="000D4DDF">
        <w:t xml:space="preserve">the </w:t>
      </w:r>
      <w:r w:rsidR="00EF77DF" w:rsidRPr="00C56BFE">
        <w:t>supply of quality, afford</w:t>
      </w:r>
      <w:r w:rsidR="00FE151A">
        <w:t xml:space="preserve">able housing through a </w:t>
      </w:r>
      <w:r w:rsidR="003805D1">
        <w:t xml:space="preserve">modular </w:t>
      </w:r>
      <w:r w:rsidR="00EF77DF" w:rsidRPr="00C56BFE">
        <w:t xml:space="preserve">construction model, </w:t>
      </w:r>
      <w:r w:rsidR="000D4DDF">
        <w:t xml:space="preserve">which will also </w:t>
      </w:r>
      <w:r w:rsidR="00EF77DF" w:rsidRPr="00C56BFE">
        <w:t>add new construction jobs</w:t>
      </w:r>
      <w:r w:rsidR="003805D1">
        <w:t xml:space="preserve"> for </w:t>
      </w:r>
      <w:r w:rsidR="00851BEB">
        <w:t xml:space="preserve">local </w:t>
      </w:r>
      <w:r w:rsidR="003805D1">
        <w:t>residents</w:t>
      </w:r>
      <w:r w:rsidR="00EF77DF" w:rsidRPr="00C56BFE">
        <w:t xml:space="preserve"> and be</w:t>
      </w:r>
      <w:r w:rsidR="0048157C">
        <w:t xml:space="preserve">gin to close the appraisal gap. </w:t>
      </w:r>
      <w:r w:rsidR="002C48A7">
        <w:t>Additionally,</w:t>
      </w:r>
      <w:r w:rsidR="00432AAA">
        <w:t xml:space="preserve"> the collaborative will </w:t>
      </w:r>
      <w:r w:rsidR="002C48A7">
        <w:t>address the needs of current homeowners and first-time homebuyers to</w:t>
      </w:r>
      <w:r w:rsidR="003E139D">
        <w:t xml:space="preserve"> help close the racial homeow</w:t>
      </w:r>
      <w:r w:rsidR="00FB3A0E">
        <w:t>nership gap for Black and Latino</w:t>
      </w:r>
      <w:r w:rsidR="003E139D">
        <w:t xml:space="preserve"> residents</w:t>
      </w:r>
      <w:r w:rsidR="000D4DDF">
        <w:t xml:space="preserve">. </w:t>
      </w:r>
      <w:r w:rsidR="002C48A7">
        <w:t>This includes</w:t>
      </w:r>
      <w:r w:rsidR="004C3625">
        <w:t>:</w:t>
      </w:r>
    </w:p>
    <w:p w14:paraId="206CA266" w14:textId="6FD8F463" w:rsidR="004C3625" w:rsidRDefault="002C48A7" w:rsidP="0080210A">
      <w:pPr>
        <w:pStyle w:val="ListParagraph"/>
        <w:numPr>
          <w:ilvl w:val="0"/>
          <w:numId w:val="15"/>
        </w:numPr>
      </w:pPr>
      <w:r>
        <w:t>providing</w:t>
      </w:r>
      <w:r w:rsidR="00056690">
        <w:t xml:space="preserve"> homeownership and consumer lending </w:t>
      </w:r>
      <w:r w:rsidR="00432AAA">
        <w:t xml:space="preserve">products for </w:t>
      </w:r>
      <w:r w:rsidR="00432AAA" w:rsidRPr="00C56BFE">
        <w:t>first-time homebuyers and long-term homeowners</w:t>
      </w:r>
      <w:r w:rsidR="00DF13F8">
        <w:t xml:space="preserve">, like </w:t>
      </w:r>
      <w:r w:rsidR="0080210A" w:rsidRPr="0080210A">
        <w:t>second mortgage loans and rehab loans;</w:t>
      </w:r>
    </w:p>
    <w:p w14:paraId="1CA66DC2" w14:textId="6049AFA3" w:rsidR="0048157C" w:rsidRDefault="00432AAA" w:rsidP="0048157C">
      <w:pPr>
        <w:pStyle w:val="ListParagraph"/>
        <w:numPr>
          <w:ilvl w:val="0"/>
          <w:numId w:val="15"/>
        </w:numPr>
      </w:pPr>
      <w:r>
        <w:t>creat</w:t>
      </w:r>
      <w:r w:rsidR="002C48A7">
        <w:t>ing</w:t>
      </w:r>
      <w:r>
        <w:t xml:space="preserve"> new </w:t>
      </w:r>
      <w:r w:rsidR="007D22A2">
        <w:t xml:space="preserve">financial </w:t>
      </w:r>
      <w:r>
        <w:t xml:space="preserve">education and counseling programs </w:t>
      </w:r>
      <w:r w:rsidR="002C48A7">
        <w:t>that help</w:t>
      </w:r>
      <w:r>
        <w:t xml:space="preserve"> improve </w:t>
      </w:r>
      <w:r w:rsidRPr="00C56BFE">
        <w:t>residents’ credit worthiness</w:t>
      </w:r>
      <w:r w:rsidRPr="00430CFD">
        <w:t xml:space="preserve"> </w:t>
      </w:r>
      <w:r w:rsidRPr="00C56BFE">
        <w:t>through low-cost consumer loans and financial coaching</w:t>
      </w:r>
      <w:r w:rsidR="00E96A3A">
        <w:t>;</w:t>
      </w:r>
      <w:r w:rsidR="0048157C">
        <w:t xml:space="preserve"> and</w:t>
      </w:r>
    </w:p>
    <w:p w14:paraId="6CDD7662" w14:textId="37CD7C40" w:rsidR="00432AAA" w:rsidRDefault="002C48A7" w:rsidP="0048157C">
      <w:pPr>
        <w:pStyle w:val="ListParagraph"/>
        <w:numPr>
          <w:ilvl w:val="0"/>
          <w:numId w:val="15"/>
        </w:numPr>
      </w:pPr>
      <w:r>
        <w:t xml:space="preserve">providing trainings for </w:t>
      </w:r>
      <w:r w:rsidRPr="00C56BFE">
        <w:t xml:space="preserve">residents </w:t>
      </w:r>
      <w:r>
        <w:t xml:space="preserve">on </w:t>
      </w:r>
      <w:r w:rsidRPr="00C56BFE">
        <w:t xml:space="preserve">how to use their collective voice </w:t>
      </w:r>
      <w:r w:rsidR="004C3625">
        <w:t>to engage their communities.</w:t>
      </w:r>
    </w:p>
    <w:p w14:paraId="6E7CC0FE" w14:textId="77777777" w:rsidR="00135878" w:rsidRDefault="00135878" w:rsidP="008F77FE">
      <w:pPr>
        <w:pStyle w:val="ListParagraph"/>
        <w:ind w:left="765"/>
      </w:pPr>
    </w:p>
    <w:p w14:paraId="1C2D90FE" w14:textId="166806FB" w:rsidR="00485F88" w:rsidRDefault="003560E6">
      <w:pPr>
        <w:rPr>
          <w:lang w:val="en-GB"/>
        </w:rPr>
      </w:pPr>
      <w:r w:rsidRPr="003560E6">
        <w:rPr>
          <w:lang w:val="en-GB"/>
        </w:rPr>
        <w:t xml:space="preserve">“As a leader in building healthier communities, receiving this award is a great achievement for The Resurrection Project (TRP)” said Marisa Novara, Department of Housing Commissioner. “The investment </w:t>
      </w:r>
      <w:r w:rsidRPr="003560E6">
        <w:rPr>
          <w:lang w:val="en-GB"/>
        </w:rPr>
        <w:lastRenderedPageBreak/>
        <w:t xml:space="preserve">by JPMorgan Chase in </w:t>
      </w:r>
      <w:proofErr w:type="spellStart"/>
      <w:r w:rsidRPr="003560E6">
        <w:rPr>
          <w:i/>
          <w:lang w:val="en-GB"/>
        </w:rPr>
        <w:t>Advancing</w:t>
      </w:r>
      <w:r w:rsidRPr="003560E6">
        <w:rPr>
          <w:lang w:val="en-GB"/>
        </w:rPr>
        <w:t>Cities</w:t>
      </w:r>
      <w:proofErr w:type="spellEnd"/>
      <w:r w:rsidRPr="003560E6">
        <w:rPr>
          <w:lang w:val="en-GB"/>
        </w:rPr>
        <w:t xml:space="preserve"> in Chicago is a great testament to the City’s leadership in community development. This City stands ready to work with TRP, its partners and Chase to rebuild communities through homeownership.”</w:t>
      </w:r>
    </w:p>
    <w:p w14:paraId="2FE087A7" w14:textId="77777777" w:rsidR="003560E6" w:rsidRDefault="003560E6"/>
    <w:p w14:paraId="539DEA50" w14:textId="4B0FE1F4" w:rsidR="00A75E97" w:rsidRDefault="0053558C">
      <w:r>
        <w:rPr>
          <w:rFonts w:cstheme="minorHAnsi"/>
          <w:iCs/>
        </w:rPr>
        <w:t xml:space="preserve">Over the course of </w:t>
      </w:r>
      <w:r w:rsidRPr="0053558C">
        <w:rPr>
          <w:rFonts w:cstheme="minorHAnsi"/>
          <w:iCs/>
        </w:rPr>
        <w:t xml:space="preserve">the three-year </w:t>
      </w:r>
      <w:r w:rsidR="007D20BC">
        <w:rPr>
          <w:rFonts w:cstheme="minorHAnsi"/>
          <w:iCs/>
        </w:rPr>
        <w:t>commitment</w:t>
      </w:r>
      <w:r w:rsidRPr="0053558C">
        <w:rPr>
          <w:rFonts w:cstheme="minorHAnsi"/>
          <w:iCs/>
        </w:rPr>
        <w:t xml:space="preserve">, </w:t>
      </w:r>
      <w:r>
        <w:rPr>
          <w:rFonts w:cstheme="minorHAnsi"/>
          <w:iCs/>
        </w:rPr>
        <w:t>the collaborative</w:t>
      </w:r>
      <w:r w:rsidRPr="0053558C">
        <w:rPr>
          <w:rFonts w:cstheme="minorHAnsi"/>
          <w:iCs/>
        </w:rPr>
        <w:t xml:space="preserve"> </w:t>
      </w:r>
      <w:r w:rsidR="00CB1FF9">
        <w:rPr>
          <w:rFonts w:cstheme="minorHAnsi"/>
          <w:iCs/>
        </w:rPr>
        <w:t xml:space="preserve">will </w:t>
      </w:r>
      <w:r w:rsidR="00A96727">
        <w:rPr>
          <w:rFonts w:cstheme="minorHAnsi"/>
          <w:iCs/>
        </w:rPr>
        <w:t xml:space="preserve">create and </w:t>
      </w:r>
      <w:r w:rsidR="00A96727" w:rsidRPr="000A7511">
        <w:rPr>
          <w:rFonts w:cstheme="minorHAnsi"/>
          <w:iCs/>
        </w:rPr>
        <w:t xml:space="preserve">preserve </w:t>
      </w:r>
      <w:r w:rsidR="000A7511" w:rsidRPr="000A7511">
        <w:rPr>
          <w:rFonts w:cstheme="minorHAnsi"/>
          <w:iCs/>
        </w:rPr>
        <w:t>over 150</w:t>
      </w:r>
      <w:r w:rsidR="00B9614F" w:rsidRPr="000A7511">
        <w:rPr>
          <w:rFonts w:cstheme="minorHAnsi"/>
          <w:iCs/>
        </w:rPr>
        <w:t xml:space="preserve"> </w:t>
      </w:r>
      <w:r w:rsidR="00B9614F">
        <w:rPr>
          <w:rFonts w:cstheme="minorHAnsi"/>
          <w:iCs/>
        </w:rPr>
        <w:t xml:space="preserve">affordable housing units, </w:t>
      </w:r>
      <w:r w:rsidR="00A73DCA">
        <w:rPr>
          <w:rFonts w:cstheme="minorHAnsi"/>
          <w:iCs/>
        </w:rPr>
        <w:t>engage nearly 3,000 participants in homebuyer preparation, in whic</w:t>
      </w:r>
      <w:r w:rsidR="003B7870">
        <w:rPr>
          <w:rFonts w:cstheme="minorHAnsi"/>
          <w:iCs/>
        </w:rPr>
        <w:t>h 240 will become ready buyers</w:t>
      </w:r>
      <w:r w:rsidR="00A73DCA">
        <w:rPr>
          <w:rFonts w:cstheme="minorHAnsi"/>
          <w:iCs/>
        </w:rPr>
        <w:t xml:space="preserve">, </w:t>
      </w:r>
      <w:r w:rsidR="003560E6">
        <w:rPr>
          <w:rFonts w:cstheme="minorHAnsi"/>
          <w:iCs/>
        </w:rPr>
        <w:t>provide over $2.8</w:t>
      </w:r>
      <w:r w:rsidR="00B9614F">
        <w:rPr>
          <w:rFonts w:cstheme="minorHAnsi"/>
          <w:iCs/>
        </w:rPr>
        <w:t xml:space="preserve"> million in </w:t>
      </w:r>
      <w:r w:rsidR="00A73DCA">
        <w:rPr>
          <w:rFonts w:cstheme="minorHAnsi"/>
          <w:iCs/>
        </w:rPr>
        <w:t>affordable mortgage and home improvement loans</w:t>
      </w:r>
      <w:r w:rsidR="003560E6">
        <w:rPr>
          <w:rFonts w:cstheme="minorHAnsi"/>
          <w:iCs/>
        </w:rPr>
        <w:t>, and create and preserve $50</w:t>
      </w:r>
      <w:r w:rsidR="00B9614F">
        <w:rPr>
          <w:rFonts w:cstheme="minorHAnsi"/>
          <w:iCs/>
        </w:rPr>
        <w:t xml:space="preserve"> million in community wealth for residents.</w:t>
      </w:r>
      <w:r w:rsidR="00B9614F">
        <w:t xml:space="preserve"> </w:t>
      </w:r>
    </w:p>
    <w:p w14:paraId="777293AC" w14:textId="77777777" w:rsidR="00A75E97" w:rsidRDefault="00A75E97"/>
    <w:p w14:paraId="32ABA01B" w14:textId="0D681C09" w:rsidR="00485F88" w:rsidRDefault="005A7A09">
      <w:pPr>
        <w:rPr>
          <w:lang w:val="en-GB"/>
        </w:rPr>
      </w:pPr>
      <w:r>
        <w:rPr>
          <w:lang w:val="en-GB"/>
        </w:rPr>
        <w:t>“S</w:t>
      </w:r>
      <w:r w:rsidR="003560E6" w:rsidRPr="003560E6">
        <w:rPr>
          <w:lang w:val="en-GB"/>
        </w:rPr>
        <w:t xml:space="preserve">tructural barriers have stripped black and brown communities of wealth and opportunity,” says Raul Raymundo, CEO and Co-Founder of The Resurrection Project. “Homeownership is a pathway for families to close the racial wealth gap. TRP and our coalition members are </w:t>
      </w:r>
      <w:proofErr w:type="spellStart"/>
      <w:r w:rsidR="003560E6" w:rsidRPr="003560E6">
        <w:rPr>
          <w:lang w:val="en-GB"/>
        </w:rPr>
        <w:t>honored</w:t>
      </w:r>
      <w:proofErr w:type="spellEnd"/>
      <w:r w:rsidR="003560E6" w:rsidRPr="003560E6">
        <w:rPr>
          <w:lang w:val="en-GB"/>
        </w:rPr>
        <w:t xml:space="preserve"> to receive the </w:t>
      </w:r>
      <w:proofErr w:type="spellStart"/>
      <w:r w:rsidR="003560E6" w:rsidRPr="003560E6">
        <w:rPr>
          <w:i/>
          <w:lang w:val="en-GB"/>
        </w:rPr>
        <w:t>Advancing</w:t>
      </w:r>
      <w:r w:rsidR="003560E6" w:rsidRPr="003560E6">
        <w:rPr>
          <w:lang w:val="en-GB"/>
        </w:rPr>
        <w:t>Cities</w:t>
      </w:r>
      <w:proofErr w:type="spellEnd"/>
      <w:r w:rsidR="003560E6" w:rsidRPr="003560E6">
        <w:rPr>
          <w:lang w:val="en-GB"/>
        </w:rPr>
        <w:t xml:space="preserve"> award, and to partner with JPMorgan Chase, and the city, in this critical work.”</w:t>
      </w:r>
    </w:p>
    <w:p w14:paraId="3EFFCEA9" w14:textId="77777777" w:rsidR="003560E6" w:rsidRDefault="003560E6"/>
    <w:p w14:paraId="1D82ECAF" w14:textId="7D610407" w:rsidR="00032465" w:rsidRDefault="00032465" w:rsidP="00032465">
      <w:r>
        <w:t xml:space="preserve">“Access to safe and quality affordable housing is essential to thriving communities but is out of reach for too many Chicagoans,” said Charlie Corrigan, Head of Midwest Philanthropy, JPMorgan Chase. “This is the biggest philanthropic </w:t>
      </w:r>
      <w:r w:rsidR="007D20BC">
        <w:t xml:space="preserve">commitment </w:t>
      </w:r>
      <w:r>
        <w:t>in a single project that JPMorgan Chase has ever made in Chicago, and will contribute to our goal of advancing economic mobility and helping address the racial wealth gap in the city.”</w:t>
      </w:r>
    </w:p>
    <w:p w14:paraId="2BA0F8C5" w14:textId="77777777" w:rsidR="00032465" w:rsidRPr="00032465" w:rsidRDefault="00032465" w:rsidP="00032465">
      <w:pPr>
        <w:rPr>
          <w:rStyle w:val="Strong"/>
          <w:b w:val="0"/>
          <w:bCs w:val="0"/>
        </w:rPr>
      </w:pPr>
    </w:p>
    <w:p w14:paraId="17D53738" w14:textId="77777777" w:rsidR="00BE10F5" w:rsidRDefault="00BE10F5" w:rsidP="00BE10F5">
      <w:pPr>
        <w:pStyle w:val="NormalWeb"/>
        <w:shd w:val="clear" w:color="auto" w:fill="FFFFFF"/>
        <w:spacing w:before="0" w:beforeAutospacing="0" w:after="0" w:afterAutospacing="0" w:line="360" w:lineRule="atLeast"/>
        <w:rPr>
          <w:rFonts w:ascii="Calibri" w:hAnsi="Calibri"/>
          <w:sz w:val="22"/>
          <w:szCs w:val="22"/>
        </w:rPr>
      </w:pPr>
      <w:r>
        <w:rPr>
          <w:rStyle w:val="Strong"/>
          <w:rFonts w:ascii="Calibri" w:hAnsi="Calibri"/>
          <w:sz w:val="22"/>
          <w:szCs w:val="22"/>
        </w:rPr>
        <w:t>About</w:t>
      </w:r>
      <w:r>
        <w:rPr>
          <w:rStyle w:val="apple-converted-space"/>
          <w:rFonts w:ascii="Calibri" w:hAnsi="Calibri"/>
          <w:b/>
          <w:bCs/>
          <w:sz w:val="22"/>
          <w:szCs w:val="22"/>
        </w:rPr>
        <w:t> </w:t>
      </w:r>
      <w:proofErr w:type="spellStart"/>
      <w:r>
        <w:rPr>
          <w:rStyle w:val="Emphasis"/>
          <w:rFonts w:ascii="Calibri" w:hAnsi="Calibri"/>
          <w:b/>
          <w:bCs/>
          <w:sz w:val="22"/>
          <w:szCs w:val="22"/>
        </w:rPr>
        <w:t>Advancing</w:t>
      </w:r>
      <w:r>
        <w:rPr>
          <w:rStyle w:val="Strong"/>
          <w:rFonts w:ascii="Calibri" w:hAnsi="Calibri"/>
          <w:sz w:val="22"/>
          <w:szCs w:val="22"/>
        </w:rPr>
        <w:t>Cities</w:t>
      </w:r>
      <w:proofErr w:type="spellEnd"/>
    </w:p>
    <w:p w14:paraId="69B4270C" w14:textId="02382BB3" w:rsidR="00BE10F5" w:rsidRDefault="00BE10F5" w:rsidP="00BE10F5">
      <w:proofErr w:type="spellStart"/>
      <w:r>
        <w:rPr>
          <w:rStyle w:val="Emphasis"/>
        </w:rPr>
        <w:t>Advancing</w:t>
      </w:r>
      <w:r>
        <w:t>Cities</w:t>
      </w:r>
      <w:proofErr w:type="spellEnd"/>
      <w:r>
        <w:t xml:space="preserve"> is a $500 million initiative that combines the firm’s lending capital, philanthropic capital and expertise to invest in cities. The program consists of two key features, the</w:t>
      </w:r>
      <w:r>
        <w:rPr>
          <w:rStyle w:val="apple-converted-space"/>
        </w:rPr>
        <w:t> </w:t>
      </w:r>
      <w:proofErr w:type="spellStart"/>
      <w:r>
        <w:rPr>
          <w:rStyle w:val="Emphasis"/>
        </w:rPr>
        <w:t>Advancing</w:t>
      </w:r>
      <w:r>
        <w:t>Cities</w:t>
      </w:r>
      <w:proofErr w:type="spellEnd"/>
      <w:r>
        <w:t xml:space="preserve"> Challenge and lar</w:t>
      </w:r>
      <w:r w:rsidR="002F0010">
        <w:t>ge-scale investments in cities where conditions exist for success such as Minneapolis, Boston, Philadelphia, Port</w:t>
      </w:r>
      <w:r w:rsidR="007D1BEA">
        <w:t xml:space="preserve">land, Baton Rouge, New Orleans </w:t>
      </w:r>
      <w:r w:rsidR="002F0010">
        <w:t xml:space="preserve">and Chicago.  </w:t>
      </w:r>
    </w:p>
    <w:p w14:paraId="66D7F1D7" w14:textId="77777777" w:rsidR="002F0010" w:rsidRPr="002F0010" w:rsidRDefault="002F0010" w:rsidP="00BE10F5">
      <w:pPr>
        <w:rPr>
          <w:rFonts w:ascii="Calibri" w:hAnsi="Calibri"/>
        </w:rPr>
      </w:pPr>
    </w:p>
    <w:p w14:paraId="390E0C3D" w14:textId="087EE9B4" w:rsidR="00BE10F5" w:rsidRDefault="00B02185">
      <w:pPr>
        <w:rPr>
          <w:rStyle w:val="Hyperlink"/>
          <w:color w:val="auto"/>
          <w:u w:val="none"/>
        </w:rPr>
      </w:pPr>
      <w:r w:rsidRPr="00C56BFE">
        <w:t xml:space="preserve">The </w:t>
      </w:r>
      <w:proofErr w:type="spellStart"/>
      <w:r w:rsidRPr="00C56BFE">
        <w:rPr>
          <w:i/>
          <w:iCs/>
        </w:rPr>
        <w:t>Advancing</w:t>
      </w:r>
      <w:r w:rsidRPr="00C56BFE">
        <w:t>Cities</w:t>
      </w:r>
      <w:proofErr w:type="spellEnd"/>
      <w:r w:rsidRPr="00C56BFE">
        <w:t xml:space="preserve"> Challenge supports collaborative and holistic solutions that tackle pressing needs and systemic challenges to help create more access to capital and opportunity. This year, the competition attracted more than 150 proposals from 78 communities across 35 states and territories.</w:t>
      </w:r>
      <w:r>
        <w:rPr>
          <w:i/>
          <w:iCs/>
        </w:rPr>
        <w:t xml:space="preserve"> P</w:t>
      </w:r>
      <w:r w:rsidR="00BE10F5">
        <w:t xml:space="preserve">roposals were required to focus on the strategic drivers of inclusive growth within JPMorgan Chase’s </w:t>
      </w:r>
      <w:hyperlink r:id="rId11" w:history="1">
        <w:r w:rsidR="00BE10F5" w:rsidRPr="0008539F">
          <w:rPr>
            <w:rStyle w:val="Hyperlink"/>
            <w:color w:val="auto"/>
            <w:u w:val="none"/>
          </w:rPr>
          <w:t>Model for Impact</w:t>
        </w:r>
      </w:hyperlink>
      <w:r w:rsidR="00BE10F5" w:rsidRPr="00B02185">
        <w:rPr>
          <w:rStyle w:val="Hyperlink"/>
          <w:color w:val="auto"/>
          <w:u w:val="none"/>
        </w:rPr>
        <w:t>:</w:t>
      </w:r>
      <w:r w:rsidR="00BE10F5">
        <w:rPr>
          <w:rStyle w:val="Hyperlink"/>
          <w:color w:val="auto"/>
          <w:u w:val="none"/>
        </w:rPr>
        <w:t xml:space="preserve"> jobs and skills, small business, neighborhood development and financial health, and build on the firm’s </w:t>
      </w:r>
      <w:hyperlink r:id="rId12" w:history="1">
        <w:r w:rsidR="00BE10F5">
          <w:rPr>
            <w:rStyle w:val="Hyperlink"/>
          </w:rPr>
          <w:t xml:space="preserve">7 Traits for </w:t>
        </w:r>
        <w:proofErr w:type="spellStart"/>
        <w:r w:rsidR="00BE10F5">
          <w:rPr>
            <w:rStyle w:val="Hyperlink"/>
            <w:i/>
            <w:iCs/>
          </w:rPr>
          <w:t>Advancing</w:t>
        </w:r>
        <w:r w:rsidR="00BE10F5">
          <w:rPr>
            <w:rStyle w:val="Hyperlink"/>
          </w:rPr>
          <w:t>Cities</w:t>
        </w:r>
        <w:proofErr w:type="spellEnd"/>
      </w:hyperlink>
      <w:r w:rsidR="00BE10F5">
        <w:rPr>
          <w:rStyle w:val="Hyperlink"/>
          <w:color w:val="auto"/>
          <w:u w:val="none"/>
        </w:rPr>
        <w:t xml:space="preserve">. </w:t>
      </w:r>
    </w:p>
    <w:p w14:paraId="441A957C" w14:textId="77777777" w:rsidR="00BE10F5" w:rsidRDefault="00BE10F5" w:rsidP="00BE10F5"/>
    <w:p w14:paraId="50CD4FC5" w14:textId="77777777" w:rsidR="00BE10F5" w:rsidRDefault="00BE10F5" w:rsidP="00BE10F5">
      <w:r>
        <w:t xml:space="preserve">The 2020 </w:t>
      </w:r>
      <w:proofErr w:type="spellStart"/>
      <w:r>
        <w:rPr>
          <w:i/>
          <w:iCs/>
        </w:rPr>
        <w:t>Advancing</w:t>
      </w:r>
      <w:r>
        <w:t>Cities</w:t>
      </w:r>
      <w:proofErr w:type="spellEnd"/>
      <w:r>
        <w:t xml:space="preserve"> Challenge leveraged lessons learned from six years of hosting the PRO Neighborhoods competition and the first year of the </w:t>
      </w:r>
      <w:proofErr w:type="spellStart"/>
      <w:r>
        <w:rPr>
          <w:i/>
          <w:iCs/>
        </w:rPr>
        <w:t>Advancing</w:t>
      </w:r>
      <w:r>
        <w:t>Cities</w:t>
      </w:r>
      <w:proofErr w:type="spellEnd"/>
      <w:r>
        <w:t xml:space="preserve"> Challenge, continuing to emphasize the importance of collaboration, strong leadership, and bold and innovative approaches to help ensure that access to capital and opportunity is more widely shared by diverse communities. This year’s combined challenge sourced solutions that embodied three key factors:</w:t>
      </w:r>
    </w:p>
    <w:p w14:paraId="6F7A2A3B" w14:textId="77777777" w:rsidR="00BE10F5" w:rsidRDefault="00BE10F5" w:rsidP="00BE10F5"/>
    <w:p w14:paraId="3CB30854" w14:textId="77777777" w:rsidR="00BE10F5" w:rsidRDefault="00BE10F5" w:rsidP="00BE10F5">
      <w:pPr>
        <w:pStyle w:val="ListParagraph"/>
        <w:numPr>
          <w:ilvl w:val="0"/>
          <w:numId w:val="13"/>
        </w:numPr>
      </w:pPr>
      <w:r>
        <w:t>A powerful vision for the future shaped by deep community engagement and a shared understanding of goals and priorities to ensure alignment across partners;</w:t>
      </w:r>
    </w:p>
    <w:p w14:paraId="3B5351C3" w14:textId="77777777" w:rsidR="00BE10F5" w:rsidRDefault="00BE10F5" w:rsidP="00BE10F5">
      <w:pPr>
        <w:pStyle w:val="ListParagraph"/>
        <w:numPr>
          <w:ilvl w:val="0"/>
          <w:numId w:val="13"/>
        </w:numPr>
      </w:pPr>
      <w:r>
        <w:t>Strong leadership and collaboration among a diverse set of actors with unique authority and resources to drive sustainable change; and</w:t>
      </w:r>
    </w:p>
    <w:p w14:paraId="0674781D" w14:textId="77777777" w:rsidR="00BE10F5" w:rsidRDefault="00BE10F5" w:rsidP="00BE10F5">
      <w:pPr>
        <w:pStyle w:val="ListParagraph"/>
        <w:numPr>
          <w:ilvl w:val="0"/>
          <w:numId w:val="13"/>
        </w:numPr>
      </w:pPr>
      <w:r>
        <w:t>Innovative approaches that are data-driven and evidence-based and that move beyond “business as usual” to change the trajectory of communities that are currently being left behind.</w:t>
      </w:r>
    </w:p>
    <w:p w14:paraId="4AE58B8A" w14:textId="77777777" w:rsidR="00BE10F5" w:rsidRDefault="00BE10F5" w:rsidP="00BE10F5"/>
    <w:p w14:paraId="6CB61F72" w14:textId="21E13747" w:rsidR="00BE10F5" w:rsidRPr="00BE10F5" w:rsidRDefault="00BE10F5" w:rsidP="00BE10F5">
      <w:pPr>
        <w:rPr>
          <w:color w:val="1F497D"/>
        </w:rPr>
      </w:pPr>
      <w:r>
        <w:lastRenderedPageBreak/>
        <w:t xml:space="preserve">The winning </w:t>
      </w:r>
      <w:proofErr w:type="spellStart"/>
      <w:r>
        <w:rPr>
          <w:i/>
          <w:iCs/>
        </w:rPr>
        <w:t>Advancing</w:t>
      </w:r>
      <w:r>
        <w:t>Cities</w:t>
      </w:r>
      <w:proofErr w:type="spellEnd"/>
      <w:r>
        <w:t xml:space="preserve"> Challenge initiatives will have access to a wide array of JPMorgan Chase resources, including data and research, employee expertise, and global network. To learn more about</w:t>
      </w:r>
      <w:r>
        <w:rPr>
          <w:rStyle w:val="apple-converted-space"/>
        </w:rPr>
        <w:t> </w:t>
      </w:r>
      <w:proofErr w:type="spellStart"/>
      <w:r>
        <w:rPr>
          <w:rStyle w:val="Emphasis"/>
        </w:rPr>
        <w:t>Advancing</w:t>
      </w:r>
      <w:r>
        <w:t>Cities</w:t>
      </w:r>
      <w:proofErr w:type="spellEnd"/>
      <w:r>
        <w:t xml:space="preserve"> visit</w:t>
      </w:r>
      <w:r>
        <w:rPr>
          <w:rStyle w:val="apple-converted-space"/>
        </w:rPr>
        <w:t> </w:t>
      </w:r>
      <w:hyperlink r:id="rId13" w:history="1">
        <w:r>
          <w:rPr>
            <w:rStyle w:val="Hyperlink"/>
          </w:rPr>
          <w:t>www.jpmorganchase.com/advancingcities</w:t>
        </w:r>
      </w:hyperlink>
      <w:r>
        <w:t>.</w:t>
      </w:r>
    </w:p>
    <w:p w14:paraId="741CB565" w14:textId="4C5F8348" w:rsidR="002F0010" w:rsidRDefault="009110E7" w:rsidP="0092699C">
      <w:pPr>
        <w:rPr>
          <w:rFonts w:ascii="Arial" w:hAnsi="Arial"/>
          <w:color w:val="939598"/>
        </w:rPr>
      </w:pPr>
      <w:r>
        <w:rPr>
          <w:rFonts w:ascii="Arial" w:hAnsi="Arial"/>
          <w:color w:val="939598"/>
        </w:rPr>
        <w:t> </w:t>
      </w:r>
    </w:p>
    <w:p w14:paraId="0723A3BF" w14:textId="246AAF11" w:rsidR="0092699C" w:rsidRPr="002F0010" w:rsidRDefault="0092699C" w:rsidP="0092699C">
      <w:pPr>
        <w:rPr>
          <w:rFonts w:ascii="Arial" w:hAnsi="Arial"/>
          <w:color w:val="939598"/>
        </w:rPr>
      </w:pPr>
      <w:r>
        <w:rPr>
          <w:rFonts w:cstheme="minorHAnsi"/>
          <w:b/>
        </w:rPr>
        <w:t>A Commitment to Chicago</w:t>
      </w:r>
    </w:p>
    <w:p w14:paraId="5CD8A587" w14:textId="45C1F2A8" w:rsidR="0092699C" w:rsidRPr="0092699C" w:rsidRDefault="0092699C" w:rsidP="0092699C">
      <w:pPr>
        <w:rPr>
          <w:rFonts w:ascii="Arial" w:hAnsi="Arial"/>
          <w:b/>
          <w:color w:val="939598"/>
        </w:rPr>
      </w:pPr>
      <w:r>
        <w:rPr>
          <w:rFonts w:cs="Arial"/>
        </w:rPr>
        <w:t xml:space="preserve">This new commitment </w:t>
      </w:r>
      <w:r w:rsidRPr="0092699C">
        <w:rPr>
          <w:rFonts w:cs="Arial"/>
        </w:rPr>
        <w:t>builds on JPMorgan Chase’s $40 million, three-year philanthropic commitment to</w:t>
      </w:r>
      <w:r>
        <w:rPr>
          <w:rFonts w:cs="Arial"/>
        </w:rPr>
        <w:t xml:space="preserve"> Chicago’s South and West sides and its additional </w:t>
      </w:r>
      <w:r w:rsidRPr="0092699C">
        <w:rPr>
          <w:rFonts w:cs="Arial"/>
        </w:rPr>
        <w:t>$10 million</w:t>
      </w:r>
      <w:r>
        <w:rPr>
          <w:rFonts w:cs="Arial"/>
        </w:rPr>
        <w:t xml:space="preserve"> flexible</w:t>
      </w:r>
      <w:r w:rsidRPr="0092699C">
        <w:rPr>
          <w:rFonts w:cs="Arial"/>
        </w:rPr>
        <w:t xml:space="preserve"> capital</w:t>
      </w:r>
      <w:r>
        <w:rPr>
          <w:rFonts w:cs="Arial"/>
        </w:rPr>
        <w:t xml:space="preserve"> commitment</w:t>
      </w:r>
      <w:r w:rsidRPr="0092699C">
        <w:rPr>
          <w:rFonts w:cs="Arial"/>
        </w:rPr>
        <w:t xml:space="preserve"> to support the sustainable development and preservation of small business and commercial corridors</w:t>
      </w:r>
      <w:r>
        <w:rPr>
          <w:rFonts w:cs="Arial"/>
        </w:rPr>
        <w:t>.</w:t>
      </w:r>
    </w:p>
    <w:p w14:paraId="7E5315C3" w14:textId="77777777" w:rsidR="0092699C" w:rsidRPr="0069539D" w:rsidRDefault="0092699C" w:rsidP="00BE6448">
      <w:pPr>
        <w:rPr>
          <w:color w:val="000000" w:themeColor="text1"/>
          <w:sz w:val="24"/>
          <w:szCs w:val="24"/>
        </w:rPr>
      </w:pPr>
    </w:p>
    <w:p w14:paraId="2F8346B4" w14:textId="4B9C067A" w:rsidR="00CB012F" w:rsidRPr="007A7D7D" w:rsidRDefault="007A7D7D" w:rsidP="0069539D">
      <w:pPr>
        <w:pStyle w:val="NormalWeb"/>
        <w:shd w:val="clear" w:color="auto" w:fill="FFFFFF"/>
        <w:spacing w:before="0" w:beforeAutospacing="0"/>
        <w:rPr>
          <w:rFonts w:asciiTheme="minorHAnsi" w:hAnsiTheme="minorHAnsi" w:cs="Arial"/>
          <w:color w:val="000000" w:themeColor="text1"/>
          <w:sz w:val="22"/>
          <w:szCs w:val="22"/>
        </w:rPr>
      </w:pPr>
      <w:r>
        <w:rPr>
          <w:rFonts w:asciiTheme="minorHAnsi" w:hAnsiTheme="minorHAnsi" w:cs="Arial"/>
          <w:color w:val="000000" w:themeColor="text1"/>
          <w:sz w:val="22"/>
          <w:szCs w:val="22"/>
        </w:rPr>
        <w:t>JPMorgan Chase</w:t>
      </w:r>
      <w:r w:rsidR="0069539D" w:rsidRPr="0069539D">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also </w:t>
      </w:r>
      <w:r w:rsidR="0069539D" w:rsidRPr="0069539D">
        <w:rPr>
          <w:rFonts w:asciiTheme="minorHAnsi" w:hAnsiTheme="minorHAnsi" w:cs="Arial"/>
          <w:color w:val="000000" w:themeColor="text1"/>
          <w:sz w:val="22"/>
          <w:szCs w:val="22"/>
        </w:rPr>
        <w:t>expects to originate an additional </w:t>
      </w:r>
      <w:r w:rsidR="0069539D" w:rsidRPr="0069539D">
        <w:rPr>
          <w:rFonts w:asciiTheme="minorHAnsi" w:hAnsiTheme="minorHAnsi" w:cs="Arial"/>
          <w:bCs/>
          <w:color w:val="000000" w:themeColor="text1"/>
          <w:sz w:val="22"/>
          <w:szCs w:val="22"/>
        </w:rPr>
        <w:t>3,000 home purchase loans</w:t>
      </w:r>
      <w:r w:rsidR="00FB3A0E">
        <w:rPr>
          <w:rFonts w:asciiTheme="minorHAnsi" w:hAnsiTheme="minorHAnsi" w:cs="Arial"/>
          <w:color w:val="000000" w:themeColor="text1"/>
          <w:sz w:val="22"/>
          <w:szCs w:val="22"/>
        </w:rPr>
        <w:t> for Black and Latino</w:t>
      </w:r>
      <w:r w:rsidR="0069539D" w:rsidRPr="0069539D">
        <w:rPr>
          <w:rFonts w:asciiTheme="minorHAnsi" w:hAnsiTheme="minorHAnsi" w:cs="Arial"/>
          <w:color w:val="000000" w:themeColor="text1"/>
          <w:sz w:val="22"/>
          <w:szCs w:val="22"/>
        </w:rPr>
        <w:t xml:space="preserve"> families</w:t>
      </w:r>
      <w:r>
        <w:rPr>
          <w:rFonts w:asciiTheme="minorHAnsi" w:hAnsiTheme="minorHAnsi" w:cs="Arial"/>
          <w:color w:val="000000" w:themeColor="text1"/>
          <w:sz w:val="22"/>
          <w:szCs w:val="22"/>
        </w:rPr>
        <w:t xml:space="preserve"> over the next five years as part of its efforts to advance affordable, sustainable homeownership</w:t>
      </w:r>
      <w:r w:rsidR="0069539D" w:rsidRPr="0069539D">
        <w:rPr>
          <w:rFonts w:asciiTheme="minorHAnsi" w:hAnsiTheme="minorHAnsi" w:cs="Arial"/>
          <w:color w:val="000000" w:themeColor="text1"/>
          <w:sz w:val="22"/>
          <w:szCs w:val="22"/>
        </w:rPr>
        <w:t xml:space="preserve">. To do this, the firm </w:t>
      </w:r>
      <w:r>
        <w:rPr>
          <w:rFonts w:asciiTheme="minorHAnsi" w:hAnsiTheme="minorHAnsi" w:cs="Arial"/>
          <w:color w:val="000000" w:themeColor="text1"/>
          <w:sz w:val="22"/>
          <w:szCs w:val="22"/>
        </w:rPr>
        <w:t>ha</w:t>
      </w:r>
      <w:r w:rsidR="0069539D" w:rsidRPr="0069539D">
        <w:rPr>
          <w:rFonts w:asciiTheme="minorHAnsi" w:hAnsiTheme="minorHAnsi" w:cs="Arial"/>
          <w:color w:val="000000" w:themeColor="text1"/>
          <w:sz w:val="22"/>
          <w:szCs w:val="22"/>
        </w:rPr>
        <w:t>s committ</w:t>
      </w:r>
      <w:r>
        <w:rPr>
          <w:rFonts w:asciiTheme="minorHAnsi" w:hAnsiTheme="minorHAnsi" w:cs="Arial"/>
          <w:color w:val="000000" w:themeColor="text1"/>
          <w:sz w:val="22"/>
          <w:szCs w:val="22"/>
        </w:rPr>
        <w:t xml:space="preserve">ed </w:t>
      </w:r>
      <w:r w:rsidR="0069539D" w:rsidRPr="0069539D">
        <w:rPr>
          <w:rFonts w:asciiTheme="minorHAnsi" w:hAnsiTheme="minorHAnsi" w:cs="Arial"/>
          <w:color w:val="000000" w:themeColor="text1"/>
          <w:sz w:val="22"/>
          <w:szCs w:val="22"/>
        </w:rPr>
        <w:t>an additional </w:t>
      </w:r>
      <w:r w:rsidR="0069539D" w:rsidRPr="0069539D">
        <w:rPr>
          <w:rFonts w:asciiTheme="minorHAnsi" w:hAnsiTheme="minorHAnsi" w:cs="Arial"/>
          <w:bCs/>
          <w:color w:val="000000" w:themeColor="text1"/>
          <w:sz w:val="22"/>
          <w:szCs w:val="22"/>
        </w:rPr>
        <w:t>$600 million </w:t>
      </w:r>
      <w:r w:rsidR="0069539D" w:rsidRPr="0069539D">
        <w:rPr>
          <w:rFonts w:asciiTheme="minorHAnsi" w:hAnsiTheme="minorHAnsi" w:cs="Arial"/>
          <w:color w:val="000000" w:themeColor="text1"/>
          <w:sz w:val="22"/>
          <w:szCs w:val="22"/>
        </w:rPr>
        <w:t>in mortgages</w:t>
      </w:r>
      <w:r w:rsidR="0069539D" w:rsidRPr="0069539D">
        <w:rPr>
          <w:rFonts w:ascii="Arial" w:hAnsi="Arial" w:cs="Arial"/>
          <w:color w:val="313030"/>
          <w:sz w:val="22"/>
          <w:szCs w:val="22"/>
        </w:rPr>
        <w:t>.</w:t>
      </w:r>
    </w:p>
    <w:p w14:paraId="7D0B5491" w14:textId="77777777" w:rsidR="00916FB2" w:rsidRPr="0069539D" w:rsidRDefault="00916FB2" w:rsidP="00916FB2">
      <w:pPr>
        <w:rPr>
          <w:iCs/>
        </w:rPr>
      </w:pPr>
      <w:r w:rsidRPr="0069539D">
        <w:rPr>
          <w:rFonts w:cstheme="minorHAnsi"/>
          <w:b/>
        </w:rPr>
        <w:t>About JPMorgan Chase &amp; Co.</w:t>
      </w:r>
    </w:p>
    <w:p w14:paraId="36B83E21" w14:textId="77777777" w:rsidR="00916FB2" w:rsidRPr="00916FB2" w:rsidRDefault="00916FB2" w:rsidP="00916FB2">
      <w:pPr>
        <w:pStyle w:val="paragraph"/>
        <w:spacing w:before="0" w:beforeAutospacing="0" w:after="0" w:afterAutospacing="0"/>
        <w:textAlignment w:val="baseline"/>
        <w:rPr>
          <w:rFonts w:asciiTheme="minorHAnsi" w:hAnsiTheme="minorHAnsi" w:cs="Arial"/>
        </w:rPr>
      </w:pPr>
      <w:r w:rsidRPr="0069539D">
        <w:rPr>
          <w:rFonts w:asciiTheme="minorHAnsi" w:hAnsiTheme="minorHAnsi" w:cs="Arial"/>
        </w:rPr>
        <w:t>JPMorgan</w:t>
      </w:r>
      <w:r w:rsidRPr="00916FB2">
        <w:rPr>
          <w:rFonts w:asciiTheme="minorHAnsi" w:hAnsiTheme="minorHAnsi" w:cs="Arial"/>
        </w:rPr>
        <w:t xml:space="preserve"> Chase &amp; Co. (NYSE: JPM) is a leading global financial services firm with assets of $3.2 trillion and operations worldwide. The Firm is a leader in investment banking, financial services for consumers and small businesses, commercial banking, financial transaction processing, and asset management. A component of the Dow Jones Industrial Average, JPMorgan Chase &amp; Co. serves millions of customers in the United States and many of the world's most prominent corporate, institutional and government clients under its J.P. Morgan and Chase brands. Information about JPMorgan Chase &amp; Co. is available at www.jpmorganchase.com.</w:t>
      </w:r>
    </w:p>
    <w:p w14:paraId="553450C7" w14:textId="77777777" w:rsidR="00916FB2" w:rsidRDefault="00916FB2" w:rsidP="00916FB2">
      <w:pPr>
        <w:rPr>
          <w:rFonts w:ascii="Calibri" w:hAnsi="Calibri" w:cs="Times New Roman"/>
          <w:color w:val="000000"/>
        </w:rPr>
      </w:pPr>
    </w:p>
    <w:p w14:paraId="51B17553" w14:textId="27B77AE5" w:rsidR="00BE10F5" w:rsidRDefault="00BE10F5" w:rsidP="00BE10F5">
      <w:pPr>
        <w:jc w:val="center"/>
        <w:rPr>
          <w:rFonts w:ascii="Calibri" w:hAnsi="Calibri" w:cs="Times New Roman"/>
          <w:color w:val="000000"/>
        </w:rPr>
      </w:pPr>
      <w:r>
        <w:rPr>
          <w:rFonts w:ascii="Calibri" w:hAnsi="Calibri" w:cs="Times New Roman"/>
          <w:color w:val="000000"/>
        </w:rPr>
        <w:t>###</w:t>
      </w:r>
    </w:p>
    <w:p w14:paraId="05A485DD" w14:textId="77777777" w:rsidR="002E639A" w:rsidRDefault="002E639A" w:rsidP="00916FB2">
      <w:pPr>
        <w:rPr>
          <w:rFonts w:ascii="Calibri" w:hAnsi="Calibri" w:cs="Times New Roman"/>
          <w:color w:val="000000"/>
        </w:rPr>
      </w:pPr>
    </w:p>
    <w:p w14:paraId="571D88BB" w14:textId="77777777" w:rsidR="00E321DA" w:rsidRDefault="00E321DA" w:rsidP="00916FB2">
      <w:pPr>
        <w:rPr>
          <w:rFonts w:ascii="Calibri" w:hAnsi="Calibri" w:cs="Times New Roman"/>
          <w:color w:val="000000"/>
        </w:rPr>
      </w:pPr>
    </w:p>
    <w:p w14:paraId="2313435B" w14:textId="77777777" w:rsidR="00E321DA" w:rsidRDefault="00E321DA" w:rsidP="00916FB2">
      <w:pPr>
        <w:rPr>
          <w:rFonts w:ascii="Calibri" w:hAnsi="Calibri" w:cs="Times New Roman"/>
          <w:color w:val="000000"/>
        </w:rPr>
      </w:pPr>
    </w:p>
    <w:p w14:paraId="350BB03C" w14:textId="77777777" w:rsidR="00E321DA" w:rsidRDefault="00E321DA" w:rsidP="00916FB2">
      <w:pPr>
        <w:rPr>
          <w:rFonts w:ascii="Calibri" w:hAnsi="Calibri" w:cs="Times New Roman"/>
          <w:color w:val="000000"/>
        </w:rPr>
      </w:pPr>
    </w:p>
    <w:p w14:paraId="13B011E8" w14:textId="77777777" w:rsidR="00AA4098" w:rsidRDefault="00AA4098" w:rsidP="00AA4098">
      <w:pPr>
        <w:rPr>
          <w:rFonts w:ascii="Calibri" w:hAnsi="Calibri" w:cs="Times New Roman"/>
          <w:color w:val="000000"/>
        </w:rPr>
      </w:pPr>
    </w:p>
    <w:p w14:paraId="64ABA19C" w14:textId="77777777" w:rsidR="00E80511" w:rsidRDefault="00E80511" w:rsidP="00E80511"/>
    <w:p w14:paraId="2763BD95" w14:textId="77777777" w:rsidR="00E80511" w:rsidRDefault="00E80511" w:rsidP="00E80511"/>
    <w:p w14:paraId="386CC3C9" w14:textId="77777777" w:rsidR="00F76C73" w:rsidRDefault="00F76C73"/>
    <w:sectPr w:rsidR="00F76C7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53C4A" w14:textId="77777777" w:rsidR="00194688" w:rsidRDefault="00194688" w:rsidP="0089126B">
      <w:r>
        <w:separator/>
      </w:r>
    </w:p>
  </w:endnote>
  <w:endnote w:type="continuationSeparator" w:id="0">
    <w:p w14:paraId="7EC49CE2" w14:textId="77777777" w:rsidR="00194688" w:rsidRDefault="00194688" w:rsidP="0089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2C11D" w14:textId="77777777" w:rsidR="00194688" w:rsidRDefault="00194688" w:rsidP="0089126B">
      <w:r>
        <w:separator/>
      </w:r>
    </w:p>
  </w:footnote>
  <w:footnote w:type="continuationSeparator" w:id="0">
    <w:p w14:paraId="288D5986" w14:textId="77777777" w:rsidR="00194688" w:rsidRDefault="00194688" w:rsidP="00891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B8773" w14:textId="720F065D" w:rsidR="00AA4098" w:rsidRDefault="00AA4098">
    <w:pPr>
      <w:pStyle w:val="Header"/>
    </w:pPr>
  </w:p>
  <w:p w14:paraId="4574051C" w14:textId="77777777" w:rsidR="00237F9A" w:rsidRDefault="00237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1E1C"/>
    <w:multiLevelType w:val="hybridMultilevel"/>
    <w:tmpl w:val="86B40F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394E63"/>
    <w:multiLevelType w:val="hybridMultilevel"/>
    <w:tmpl w:val="C6FA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F6051"/>
    <w:multiLevelType w:val="hybridMultilevel"/>
    <w:tmpl w:val="BD22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173B3"/>
    <w:multiLevelType w:val="multilevel"/>
    <w:tmpl w:val="FB10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7513E"/>
    <w:multiLevelType w:val="hybridMultilevel"/>
    <w:tmpl w:val="F934D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B02"/>
    <w:multiLevelType w:val="hybridMultilevel"/>
    <w:tmpl w:val="6D9C5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414FF4"/>
    <w:multiLevelType w:val="hybridMultilevel"/>
    <w:tmpl w:val="0F8C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67CFF"/>
    <w:multiLevelType w:val="hybridMultilevel"/>
    <w:tmpl w:val="0C3CB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076F55"/>
    <w:multiLevelType w:val="hybridMultilevel"/>
    <w:tmpl w:val="DCE2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F6088"/>
    <w:multiLevelType w:val="hybridMultilevel"/>
    <w:tmpl w:val="3270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A4DC5"/>
    <w:multiLevelType w:val="hybridMultilevel"/>
    <w:tmpl w:val="4226044E"/>
    <w:lvl w:ilvl="0" w:tplc="9B0244B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F1465D"/>
    <w:multiLevelType w:val="hybridMultilevel"/>
    <w:tmpl w:val="B40264A6"/>
    <w:lvl w:ilvl="0" w:tplc="C4DCC09C">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F7228"/>
    <w:multiLevelType w:val="hybridMultilevel"/>
    <w:tmpl w:val="8912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024C8"/>
    <w:multiLevelType w:val="hybridMultilevel"/>
    <w:tmpl w:val="66B23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5"/>
  </w:num>
  <w:num w:numId="5">
    <w:abstractNumId w:val="7"/>
  </w:num>
  <w:num w:numId="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5"/>
  </w:num>
  <w:num w:numId="8">
    <w:abstractNumId w:val="1"/>
  </w:num>
  <w:num w:numId="9">
    <w:abstractNumId w:val="13"/>
  </w:num>
  <w:num w:numId="10">
    <w:abstractNumId w:val="12"/>
  </w:num>
  <w:num w:numId="11">
    <w:abstractNumId w:val="4"/>
  </w:num>
  <w:num w:numId="12">
    <w:abstractNumId w:val="2"/>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511"/>
    <w:rsid w:val="000152F4"/>
    <w:rsid w:val="00030DCC"/>
    <w:rsid w:val="00032465"/>
    <w:rsid w:val="00052B12"/>
    <w:rsid w:val="00056690"/>
    <w:rsid w:val="00070BFD"/>
    <w:rsid w:val="0008539F"/>
    <w:rsid w:val="00091839"/>
    <w:rsid w:val="0009541C"/>
    <w:rsid w:val="000971B6"/>
    <w:rsid w:val="000A53E0"/>
    <w:rsid w:val="000A7511"/>
    <w:rsid w:val="000B00C2"/>
    <w:rsid w:val="000B4C32"/>
    <w:rsid w:val="000C71F4"/>
    <w:rsid w:val="000D4DDF"/>
    <w:rsid w:val="000D68C1"/>
    <w:rsid w:val="000E373F"/>
    <w:rsid w:val="000E37F4"/>
    <w:rsid w:val="000F5CAB"/>
    <w:rsid w:val="00112EB0"/>
    <w:rsid w:val="001225CD"/>
    <w:rsid w:val="001257D3"/>
    <w:rsid w:val="00132F7C"/>
    <w:rsid w:val="0013503A"/>
    <w:rsid w:val="00135878"/>
    <w:rsid w:val="001452A2"/>
    <w:rsid w:val="001635EE"/>
    <w:rsid w:val="001728C1"/>
    <w:rsid w:val="0018612A"/>
    <w:rsid w:val="00194688"/>
    <w:rsid w:val="001A234A"/>
    <w:rsid w:val="001A25A3"/>
    <w:rsid w:val="001A7643"/>
    <w:rsid w:val="001B2331"/>
    <w:rsid w:val="001E1EAB"/>
    <w:rsid w:val="001E7227"/>
    <w:rsid w:val="001E7DCD"/>
    <w:rsid w:val="00201085"/>
    <w:rsid w:val="00220FD1"/>
    <w:rsid w:val="0022470C"/>
    <w:rsid w:val="00237F9A"/>
    <w:rsid w:val="0025477A"/>
    <w:rsid w:val="00277CD1"/>
    <w:rsid w:val="002A08CA"/>
    <w:rsid w:val="002A4937"/>
    <w:rsid w:val="002A7E79"/>
    <w:rsid w:val="002C388B"/>
    <w:rsid w:val="002C48A7"/>
    <w:rsid w:val="002D288F"/>
    <w:rsid w:val="002E54D9"/>
    <w:rsid w:val="002E639A"/>
    <w:rsid w:val="002F0010"/>
    <w:rsid w:val="00313FAB"/>
    <w:rsid w:val="003241A6"/>
    <w:rsid w:val="0032430B"/>
    <w:rsid w:val="0032500F"/>
    <w:rsid w:val="00332E7C"/>
    <w:rsid w:val="003367DE"/>
    <w:rsid w:val="003408CC"/>
    <w:rsid w:val="003560E6"/>
    <w:rsid w:val="0036358B"/>
    <w:rsid w:val="003725CD"/>
    <w:rsid w:val="003805D1"/>
    <w:rsid w:val="003818DE"/>
    <w:rsid w:val="003A3B1B"/>
    <w:rsid w:val="003B09FA"/>
    <w:rsid w:val="003B7870"/>
    <w:rsid w:val="003C1462"/>
    <w:rsid w:val="003E139D"/>
    <w:rsid w:val="00405636"/>
    <w:rsid w:val="00406F84"/>
    <w:rsid w:val="00430CFD"/>
    <w:rsid w:val="00432AAA"/>
    <w:rsid w:val="004720D1"/>
    <w:rsid w:val="00474381"/>
    <w:rsid w:val="00477BFD"/>
    <w:rsid w:val="0048157C"/>
    <w:rsid w:val="00485F88"/>
    <w:rsid w:val="004A3494"/>
    <w:rsid w:val="004A34C4"/>
    <w:rsid w:val="004B4910"/>
    <w:rsid w:val="004B666B"/>
    <w:rsid w:val="004C3625"/>
    <w:rsid w:val="004D02E0"/>
    <w:rsid w:val="004D0318"/>
    <w:rsid w:val="004E2405"/>
    <w:rsid w:val="004E2BA9"/>
    <w:rsid w:val="004F680E"/>
    <w:rsid w:val="004F7D80"/>
    <w:rsid w:val="005320BF"/>
    <w:rsid w:val="0053558C"/>
    <w:rsid w:val="00565EA6"/>
    <w:rsid w:val="00583B75"/>
    <w:rsid w:val="005A6010"/>
    <w:rsid w:val="005A7A09"/>
    <w:rsid w:val="005B34E8"/>
    <w:rsid w:val="005B360B"/>
    <w:rsid w:val="005C0099"/>
    <w:rsid w:val="005C6C49"/>
    <w:rsid w:val="005E2E1C"/>
    <w:rsid w:val="0060267A"/>
    <w:rsid w:val="0060402A"/>
    <w:rsid w:val="00605721"/>
    <w:rsid w:val="00614365"/>
    <w:rsid w:val="0062370B"/>
    <w:rsid w:val="00626D16"/>
    <w:rsid w:val="00627F55"/>
    <w:rsid w:val="00632339"/>
    <w:rsid w:val="006340C4"/>
    <w:rsid w:val="00635587"/>
    <w:rsid w:val="00641895"/>
    <w:rsid w:val="00641B0F"/>
    <w:rsid w:val="006571BE"/>
    <w:rsid w:val="00667E01"/>
    <w:rsid w:val="00670F2F"/>
    <w:rsid w:val="00671328"/>
    <w:rsid w:val="00673EA5"/>
    <w:rsid w:val="00675D73"/>
    <w:rsid w:val="00681E4C"/>
    <w:rsid w:val="00690B06"/>
    <w:rsid w:val="0069539D"/>
    <w:rsid w:val="006B01DD"/>
    <w:rsid w:val="006E2A3F"/>
    <w:rsid w:val="006E2D86"/>
    <w:rsid w:val="006E7505"/>
    <w:rsid w:val="006E7D6E"/>
    <w:rsid w:val="006F0D48"/>
    <w:rsid w:val="006F52F8"/>
    <w:rsid w:val="00706268"/>
    <w:rsid w:val="00732A96"/>
    <w:rsid w:val="0076002D"/>
    <w:rsid w:val="0077439E"/>
    <w:rsid w:val="00791D24"/>
    <w:rsid w:val="007A7D7D"/>
    <w:rsid w:val="007B32D9"/>
    <w:rsid w:val="007C2B0C"/>
    <w:rsid w:val="007D1BEA"/>
    <w:rsid w:val="007D20BC"/>
    <w:rsid w:val="007D22A2"/>
    <w:rsid w:val="007D3ABE"/>
    <w:rsid w:val="007D4382"/>
    <w:rsid w:val="007D4DE6"/>
    <w:rsid w:val="007D6496"/>
    <w:rsid w:val="007E3CE4"/>
    <w:rsid w:val="007F119D"/>
    <w:rsid w:val="007F3580"/>
    <w:rsid w:val="0080210A"/>
    <w:rsid w:val="0083070F"/>
    <w:rsid w:val="00851BEB"/>
    <w:rsid w:val="00851DC4"/>
    <w:rsid w:val="00863A0C"/>
    <w:rsid w:val="00865997"/>
    <w:rsid w:val="00870470"/>
    <w:rsid w:val="00871308"/>
    <w:rsid w:val="0089126B"/>
    <w:rsid w:val="008A2846"/>
    <w:rsid w:val="008A3D21"/>
    <w:rsid w:val="008A7EBC"/>
    <w:rsid w:val="008D0092"/>
    <w:rsid w:val="008D5733"/>
    <w:rsid w:val="008E21ED"/>
    <w:rsid w:val="008E2224"/>
    <w:rsid w:val="008F25B9"/>
    <w:rsid w:val="008F77FE"/>
    <w:rsid w:val="009110E7"/>
    <w:rsid w:val="00916BDF"/>
    <w:rsid w:val="00916FB2"/>
    <w:rsid w:val="00917A78"/>
    <w:rsid w:val="0092699C"/>
    <w:rsid w:val="00927825"/>
    <w:rsid w:val="00936EE0"/>
    <w:rsid w:val="00941D49"/>
    <w:rsid w:val="00950D62"/>
    <w:rsid w:val="0096046C"/>
    <w:rsid w:val="00960B0F"/>
    <w:rsid w:val="00966C24"/>
    <w:rsid w:val="0098019F"/>
    <w:rsid w:val="0098649E"/>
    <w:rsid w:val="009869CB"/>
    <w:rsid w:val="009A39B6"/>
    <w:rsid w:val="009F5FFA"/>
    <w:rsid w:val="00A04BC5"/>
    <w:rsid w:val="00A07C32"/>
    <w:rsid w:val="00A23EF4"/>
    <w:rsid w:val="00A23FF6"/>
    <w:rsid w:val="00A27ADD"/>
    <w:rsid w:val="00A33CD1"/>
    <w:rsid w:val="00A34A49"/>
    <w:rsid w:val="00A408B5"/>
    <w:rsid w:val="00A40985"/>
    <w:rsid w:val="00A422C4"/>
    <w:rsid w:val="00A42B21"/>
    <w:rsid w:val="00A50479"/>
    <w:rsid w:val="00A73DCA"/>
    <w:rsid w:val="00A7558E"/>
    <w:rsid w:val="00A75E97"/>
    <w:rsid w:val="00A81799"/>
    <w:rsid w:val="00A96727"/>
    <w:rsid w:val="00A967D8"/>
    <w:rsid w:val="00A96801"/>
    <w:rsid w:val="00AA4098"/>
    <w:rsid w:val="00AB331C"/>
    <w:rsid w:val="00AC290A"/>
    <w:rsid w:val="00AC2C65"/>
    <w:rsid w:val="00AD39B7"/>
    <w:rsid w:val="00AE5560"/>
    <w:rsid w:val="00AE60B9"/>
    <w:rsid w:val="00AF2292"/>
    <w:rsid w:val="00AF2CD0"/>
    <w:rsid w:val="00B02149"/>
    <w:rsid w:val="00B02185"/>
    <w:rsid w:val="00B074BC"/>
    <w:rsid w:val="00B2093C"/>
    <w:rsid w:val="00B26FCD"/>
    <w:rsid w:val="00B27301"/>
    <w:rsid w:val="00B3401E"/>
    <w:rsid w:val="00B54FF2"/>
    <w:rsid w:val="00B60F2D"/>
    <w:rsid w:val="00B76A99"/>
    <w:rsid w:val="00B8295B"/>
    <w:rsid w:val="00B8615F"/>
    <w:rsid w:val="00B87249"/>
    <w:rsid w:val="00B9614F"/>
    <w:rsid w:val="00B97636"/>
    <w:rsid w:val="00BA7A6A"/>
    <w:rsid w:val="00BB6E0D"/>
    <w:rsid w:val="00BC2B24"/>
    <w:rsid w:val="00BD0629"/>
    <w:rsid w:val="00BD76C0"/>
    <w:rsid w:val="00BE10F5"/>
    <w:rsid w:val="00BE3A60"/>
    <w:rsid w:val="00BE6448"/>
    <w:rsid w:val="00C01F0D"/>
    <w:rsid w:val="00C02112"/>
    <w:rsid w:val="00C022B6"/>
    <w:rsid w:val="00C1135F"/>
    <w:rsid w:val="00C13D5C"/>
    <w:rsid w:val="00C31DDA"/>
    <w:rsid w:val="00C364CE"/>
    <w:rsid w:val="00C54B97"/>
    <w:rsid w:val="00C56BFE"/>
    <w:rsid w:val="00C61634"/>
    <w:rsid w:val="00C71F99"/>
    <w:rsid w:val="00C75580"/>
    <w:rsid w:val="00C8433B"/>
    <w:rsid w:val="00CA457A"/>
    <w:rsid w:val="00CA720D"/>
    <w:rsid w:val="00CA7E60"/>
    <w:rsid w:val="00CB012F"/>
    <w:rsid w:val="00CB1FF9"/>
    <w:rsid w:val="00CD1767"/>
    <w:rsid w:val="00CD6B40"/>
    <w:rsid w:val="00CE7209"/>
    <w:rsid w:val="00D158BD"/>
    <w:rsid w:val="00D66E32"/>
    <w:rsid w:val="00D74670"/>
    <w:rsid w:val="00D75D90"/>
    <w:rsid w:val="00DB45BD"/>
    <w:rsid w:val="00DF13F8"/>
    <w:rsid w:val="00DF5C1B"/>
    <w:rsid w:val="00DF5F0A"/>
    <w:rsid w:val="00DF72FF"/>
    <w:rsid w:val="00E07EE3"/>
    <w:rsid w:val="00E1099C"/>
    <w:rsid w:val="00E321DA"/>
    <w:rsid w:val="00E6422D"/>
    <w:rsid w:val="00E70373"/>
    <w:rsid w:val="00E7191A"/>
    <w:rsid w:val="00E72166"/>
    <w:rsid w:val="00E80511"/>
    <w:rsid w:val="00E9411D"/>
    <w:rsid w:val="00E96A3A"/>
    <w:rsid w:val="00EA0C63"/>
    <w:rsid w:val="00EA1334"/>
    <w:rsid w:val="00EA61ED"/>
    <w:rsid w:val="00EC18F2"/>
    <w:rsid w:val="00EF77DF"/>
    <w:rsid w:val="00F048B2"/>
    <w:rsid w:val="00F252B7"/>
    <w:rsid w:val="00F30F30"/>
    <w:rsid w:val="00F74337"/>
    <w:rsid w:val="00F7691A"/>
    <w:rsid w:val="00F76A5A"/>
    <w:rsid w:val="00F76C73"/>
    <w:rsid w:val="00F76CDB"/>
    <w:rsid w:val="00F76EE2"/>
    <w:rsid w:val="00F80F1A"/>
    <w:rsid w:val="00F820FB"/>
    <w:rsid w:val="00FA7699"/>
    <w:rsid w:val="00FB3A0E"/>
    <w:rsid w:val="00FD3115"/>
    <w:rsid w:val="00FD3604"/>
    <w:rsid w:val="00FE151A"/>
    <w:rsid w:val="00FE2CC9"/>
    <w:rsid w:val="00FE66B6"/>
    <w:rsid w:val="00FE7EC5"/>
    <w:rsid w:val="00FF21EC"/>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87460"/>
  <w15:chartTrackingRefBased/>
  <w15:docId w15:val="{59522C9C-98DA-420C-9F84-075D40A4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511"/>
    <w:pPr>
      <w:spacing w:after="0" w:line="240" w:lineRule="auto"/>
    </w:pPr>
  </w:style>
  <w:style w:type="paragraph" w:styleId="Heading2">
    <w:name w:val="heading 2"/>
    <w:basedOn w:val="Normal"/>
    <w:link w:val="Heading2Char"/>
    <w:uiPriority w:val="9"/>
    <w:qFormat/>
    <w:rsid w:val="001E722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511"/>
    <w:rPr>
      <w:color w:val="0000FF"/>
      <w:u w:val="single"/>
    </w:rPr>
  </w:style>
  <w:style w:type="paragraph" w:styleId="ListParagraph">
    <w:name w:val="List Paragraph"/>
    <w:aliases w:val="Catch All,Heading III,Bullet List,FooterText,List Paragraph1,numbered,Paragraphe de liste1,Bulletr List Paragraph,列出段落,列出段落1,Listeafsnit1,Parágrafo da Lista1,List Paragraph2,List Paragraph21,Párrafo de lista1,リスト段落1,Bullet list,Foot,リスト段落"/>
    <w:basedOn w:val="Normal"/>
    <w:link w:val="ListParagraphChar"/>
    <w:uiPriority w:val="34"/>
    <w:qFormat/>
    <w:rsid w:val="00E80511"/>
    <w:pPr>
      <w:ind w:left="720"/>
      <w:contextualSpacing/>
    </w:pPr>
  </w:style>
  <w:style w:type="paragraph" w:styleId="Header">
    <w:name w:val="header"/>
    <w:basedOn w:val="Normal"/>
    <w:link w:val="HeaderChar"/>
    <w:uiPriority w:val="99"/>
    <w:unhideWhenUsed/>
    <w:rsid w:val="0089126B"/>
    <w:pPr>
      <w:tabs>
        <w:tab w:val="center" w:pos="4680"/>
        <w:tab w:val="right" w:pos="9360"/>
      </w:tabs>
    </w:pPr>
  </w:style>
  <w:style w:type="character" w:customStyle="1" w:styleId="HeaderChar">
    <w:name w:val="Header Char"/>
    <w:basedOn w:val="DefaultParagraphFont"/>
    <w:link w:val="Header"/>
    <w:uiPriority w:val="99"/>
    <w:rsid w:val="0089126B"/>
  </w:style>
  <w:style w:type="paragraph" w:styleId="Footer">
    <w:name w:val="footer"/>
    <w:basedOn w:val="Normal"/>
    <w:link w:val="FooterChar"/>
    <w:uiPriority w:val="99"/>
    <w:unhideWhenUsed/>
    <w:rsid w:val="0089126B"/>
    <w:pPr>
      <w:tabs>
        <w:tab w:val="center" w:pos="4680"/>
        <w:tab w:val="right" w:pos="9360"/>
      </w:tabs>
    </w:pPr>
  </w:style>
  <w:style w:type="character" w:customStyle="1" w:styleId="FooterChar">
    <w:name w:val="Footer Char"/>
    <w:basedOn w:val="DefaultParagraphFont"/>
    <w:link w:val="Footer"/>
    <w:uiPriority w:val="99"/>
    <w:rsid w:val="0089126B"/>
  </w:style>
  <w:style w:type="paragraph" w:customStyle="1" w:styleId="Default">
    <w:name w:val="Default"/>
    <w:uiPriority w:val="99"/>
    <w:rsid w:val="00870470"/>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Catch All Char,Heading III Char,Bullet List Char,FooterText Char,List Paragraph1 Char,numbered Char,Paragraphe de liste1 Char,Bulletr List Paragraph Char,列出段落 Char,列出段落1 Char,Listeafsnit1 Char,Parágrafo da Lista1 Char,リスト段落1 Char"/>
    <w:basedOn w:val="DefaultParagraphFont"/>
    <w:link w:val="ListParagraph"/>
    <w:uiPriority w:val="34"/>
    <w:locked/>
    <w:rsid w:val="00916FB2"/>
  </w:style>
  <w:style w:type="paragraph" w:customStyle="1" w:styleId="Normal1">
    <w:name w:val="Normal1"/>
    <w:basedOn w:val="BodyText"/>
    <w:link w:val="NORMALChar"/>
    <w:qFormat/>
    <w:rsid w:val="00916FB2"/>
    <w:pPr>
      <w:widowControl w:val="0"/>
      <w:spacing w:after="0"/>
    </w:pPr>
    <w:rPr>
      <w:rFonts w:eastAsia="Arial" w:cstheme="minorHAnsi"/>
      <w:spacing w:val="-1"/>
      <w:szCs w:val="20"/>
    </w:rPr>
  </w:style>
  <w:style w:type="character" w:customStyle="1" w:styleId="NORMALChar">
    <w:name w:val="NORMAL Char"/>
    <w:basedOn w:val="DefaultParagraphFont"/>
    <w:link w:val="Normal1"/>
    <w:rsid w:val="00916FB2"/>
    <w:rPr>
      <w:rFonts w:eastAsia="Arial" w:cstheme="minorHAnsi"/>
      <w:spacing w:val="-1"/>
      <w:szCs w:val="20"/>
    </w:rPr>
  </w:style>
  <w:style w:type="paragraph" w:styleId="BodyText">
    <w:name w:val="Body Text"/>
    <w:basedOn w:val="Normal"/>
    <w:link w:val="BodyTextChar"/>
    <w:uiPriority w:val="99"/>
    <w:semiHidden/>
    <w:unhideWhenUsed/>
    <w:rsid w:val="00916FB2"/>
    <w:pPr>
      <w:spacing w:after="120"/>
    </w:pPr>
  </w:style>
  <w:style w:type="character" w:customStyle="1" w:styleId="BodyTextChar">
    <w:name w:val="Body Text Char"/>
    <w:basedOn w:val="DefaultParagraphFont"/>
    <w:link w:val="BodyText"/>
    <w:uiPriority w:val="99"/>
    <w:semiHidden/>
    <w:rsid w:val="00916FB2"/>
  </w:style>
  <w:style w:type="paragraph" w:customStyle="1" w:styleId="paragraph">
    <w:name w:val="paragraph"/>
    <w:basedOn w:val="Normal"/>
    <w:uiPriority w:val="99"/>
    <w:rsid w:val="00916FB2"/>
    <w:pPr>
      <w:spacing w:before="100" w:beforeAutospacing="1" w:after="100" w:afterAutospacing="1"/>
    </w:pPr>
    <w:rPr>
      <w:rFonts w:ascii="Calibri" w:hAnsi="Calibri" w:cs="Times New Roman"/>
    </w:rPr>
  </w:style>
  <w:style w:type="paragraph" w:styleId="NormalWeb">
    <w:name w:val="Normal (Web)"/>
    <w:basedOn w:val="Normal"/>
    <w:uiPriority w:val="99"/>
    <w:unhideWhenUsed/>
    <w:rsid w:val="009110E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110E7"/>
    <w:rPr>
      <w:b/>
      <w:bCs/>
    </w:rPr>
  </w:style>
  <w:style w:type="character" w:customStyle="1" w:styleId="apple-converted-space">
    <w:name w:val="apple-converted-space"/>
    <w:basedOn w:val="DefaultParagraphFont"/>
    <w:rsid w:val="009110E7"/>
  </w:style>
  <w:style w:type="character" w:styleId="Emphasis">
    <w:name w:val="Emphasis"/>
    <w:basedOn w:val="DefaultParagraphFont"/>
    <w:uiPriority w:val="20"/>
    <w:qFormat/>
    <w:rsid w:val="009110E7"/>
    <w:rPr>
      <w:i/>
      <w:iCs/>
    </w:rPr>
  </w:style>
  <w:style w:type="character" w:styleId="CommentReference">
    <w:name w:val="annotation reference"/>
    <w:basedOn w:val="DefaultParagraphFont"/>
    <w:uiPriority w:val="99"/>
    <w:semiHidden/>
    <w:unhideWhenUsed/>
    <w:rsid w:val="002E639A"/>
    <w:rPr>
      <w:sz w:val="16"/>
      <w:szCs w:val="16"/>
    </w:rPr>
  </w:style>
  <w:style w:type="paragraph" w:styleId="CommentText">
    <w:name w:val="annotation text"/>
    <w:basedOn w:val="Normal"/>
    <w:link w:val="CommentTextChar"/>
    <w:uiPriority w:val="99"/>
    <w:unhideWhenUsed/>
    <w:rsid w:val="002E639A"/>
    <w:rPr>
      <w:sz w:val="20"/>
      <w:szCs w:val="20"/>
    </w:rPr>
  </w:style>
  <w:style w:type="character" w:customStyle="1" w:styleId="CommentTextChar">
    <w:name w:val="Comment Text Char"/>
    <w:basedOn w:val="DefaultParagraphFont"/>
    <w:link w:val="CommentText"/>
    <w:uiPriority w:val="99"/>
    <w:rsid w:val="002E639A"/>
    <w:rPr>
      <w:sz w:val="20"/>
      <w:szCs w:val="20"/>
    </w:rPr>
  </w:style>
  <w:style w:type="paragraph" w:styleId="CommentSubject">
    <w:name w:val="annotation subject"/>
    <w:basedOn w:val="CommentText"/>
    <w:next w:val="CommentText"/>
    <w:link w:val="CommentSubjectChar"/>
    <w:uiPriority w:val="99"/>
    <w:semiHidden/>
    <w:unhideWhenUsed/>
    <w:rsid w:val="002E639A"/>
    <w:rPr>
      <w:b/>
      <w:bCs/>
    </w:rPr>
  </w:style>
  <w:style w:type="character" w:customStyle="1" w:styleId="CommentSubjectChar">
    <w:name w:val="Comment Subject Char"/>
    <w:basedOn w:val="CommentTextChar"/>
    <w:link w:val="CommentSubject"/>
    <w:uiPriority w:val="99"/>
    <w:semiHidden/>
    <w:rsid w:val="002E639A"/>
    <w:rPr>
      <w:b/>
      <w:bCs/>
      <w:sz w:val="20"/>
      <w:szCs w:val="20"/>
    </w:rPr>
  </w:style>
  <w:style w:type="paragraph" w:styleId="BalloonText">
    <w:name w:val="Balloon Text"/>
    <w:basedOn w:val="Normal"/>
    <w:link w:val="BalloonTextChar"/>
    <w:uiPriority w:val="99"/>
    <w:semiHidden/>
    <w:unhideWhenUsed/>
    <w:rsid w:val="002E6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39A"/>
    <w:rPr>
      <w:rFonts w:ascii="Segoe UI" w:hAnsi="Segoe UI" w:cs="Segoe UI"/>
      <w:sz w:val="18"/>
      <w:szCs w:val="18"/>
    </w:rPr>
  </w:style>
  <w:style w:type="character" w:customStyle="1" w:styleId="Heading2Char">
    <w:name w:val="Heading 2 Char"/>
    <w:basedOn w:val="DefaultParagraphFont"/>
    <w:link w:val="Heading2"/>
    <w:uiPriority w:val="9"/>
    <w:rsid w:val="001E7227"/>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791D24"/>
    <w:rPr>
      <w:color w:val="954F72" w:themeColor="followedHyperlink"/>
      <w:u w:val="single"/>
    </w:rPr>
  </w:style>
  <w:style w:type="paragraph" w:styleId="FootnoteText">
    <w:name w:val="footnote text"/>
    <w:basedOn w:val="Normal"/>
    <w:link w:val="FootnoteTextChar"/>
    <w:uiPriority w:val="99"/>
    <w:semiHidden/>
    <w:unhideWhenUsed/>
    <w:rsid w:val="0053558C"/>
    <w:rPr>
      <w:sz w:val="20"/>
      <w:szCs w:val="20"/>
    </w:rPr>
  </w:style>
  <w:style w:type="character" w:customStyle="1" w:styleId="FootnoteTextChar">
    <w:name w:val="Footnote Text Char"/>
    <w:basedOn w:val="DefaultParagraphFont"/>
    <w:link w:val="FootnoteText"/>
    <w:uiPriority w:val="99"/>
    <w:semiHidden/>
    <w:rsid w:val="0053558C"/>
    <w:rPr>
      <w:sz w:val="20"/>
      <w:szCs w:val="20"/>
    </w:rPr>
  </w:style>
  <w:style w:type="character" w:styleId="FootnoteReference">
    <w:name w:val="footnote reference"/>
    <w:basedOn w:val="DefaultParagraphFont"/>
    <w:uiPriority w:val="99"/>
    <w:semiHidden/>
    <w:unhideWhenUsed/>
    <w:rsid w:val="005355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2647">
      <w:bodyDiv w:val="1"/>
      <w:marLeft w:val="0"/>
      <w:marRight w:val="0"/>
      <w:marTop w:val="0"/>
      <w:marBottom w:val="0"/>
      <w:divBdr>
        <w:top w:val="none" w:sz="0" w:space="0" w:color="auto"/>
        <w:left w:val="none" w:sz="0" w:space="0" w:color="auto"/>
        <w:bottom w:val="none" w:sz="0" w:space="0" w:color="auto"/>
        <w:right w:val="none" w:sz="0" w:space="0" w:color="auto"/>
      </w:divBdr>
    </w:div>
    <w:div w:id="118646396">
      <w:bodyDiv w:val="1"/>
      <w:marLeft w:val="0"/>
      <w:marRight w:val="0"/>
      <w:marTop w:val="0"/>
      <w:marBottom w:val="0"/>
      <w:divBdr>
        <w:top w:val="none" w:sz="0" w:space="0" w:color="auto"/>
        <w:left w:val="none" w:sz="0" w:space="0" w:color="auto"/>
        <w:bottom w:val="none" w:sz="0" w:space="0" w:color="auto"/>
        <w:right w:val="none" w:sz="0" w:space="0" w:color="auto"/>
      </w:divBdr>
    </w:div>
    <w:div w:id="166870902">
      <w:bodyDiv w:val="1"/>
      <w:marLeft w:val="0"/>
      <w:marRight w:val="0"/>
      <w:marTop w:val="0"/>
      <w:marBottom w:val="0"/>
      <w:divBdr>
        <w:top w:val="none" w:sz="0" w:space="0" w:color="auto"/>
        <w:left w:val="none" w:sz="0" w:space="0" w:color="auto"/>
        <w:bottom w:val="none" w:sz="0" w:space="0" w:color="auto"/>
        <w:right w:val="none" w:sz="0" w:space="0" w:color="auto"/>
      </w:divBdr>
    </w:div>
    <w:div w:id="242837581">
      <w:bodyDiv w:val="1"/>
      <w:marLeft w:val="0"/>
      <w:marRight w:val="0"/>
      <w:marTop w:val="0"/>
      <w:marBottom w:val="0"/>
      <w:divBdr>
        <w:top w:val="none" w:sz="0" w:space="0" w:color="auto"/>
        <w:left w:val="none" w:sz="0" w:space="0" w:color="auto"/>
        <w:bottom w:val="none" w:sz="0" w:space="0" w:color="auto"/>
        <w:right w:val="none" w:sz="0" w:space="0" w:color="auto"/>
      </w:divBdr>
    </w:div>
    <w:div w:id="347953201">
      <w:bodyDiv w:val="1"/>
      <w:marLeft w:val="0"/>
      <w:marRight w:val="0"/>
      <w:marTop w:val="0"/>
      <w:marBottom w:val="0"/>
      <w:divBdr>
        <w:top w:val="none" w:sz="0" w:space="0" w:color="auto"/>
        <w:left w:val="none" w:sz="0" w:space="0" w:color="auto"/>
        <w:bottom w:val="none" w:sz="0" w:space="0" w:color="auto"/>
        <w:right w:val="none" w:sz="0" w:space="0" w:color="auto"/>
      </w:divBdr>
    </w:div>
    <w:div w:id="550768777">
      <w:bodyDiv w:val="1"/>
      <w:marLeft w:val="0"/>
      <w:marRight w:val="0"/>
      <w:marTop w:val="0"/>
      <w:marBottom w:val="0"/>
      <w:divBdr>
        <w:top w:val="none" w:sz="0" w:space="0" w:color="auto"/>
        <w:left w:val="none" w:sz="0" w:space="0" w:color="auto"/>
        <w:bottom w:val="none" w:sz="0" w:space="0" w:color="auto"/>
        <w:right w:val="none" w:sz="0" w:space="0" w:color="auto"/>
      </w:divBdr>
    </w:div>
    <w:div w:id="557395930">
      <w:bodyDiv w:val="1"/>
      <w:marLeft w:val="0"/>
      <w:marRight w:val="0"/>
      <w:marTop w:val="0"/>
      <w:marBottom w:val="0"/>
      <w:divBdr>
        <w:top w:val="none" w:sz="0" w:space="0" w:color="auto"/>
        <w:left w:val="none" w:sz="0" w:space="0" w:color="auto"/>
        <w:bottom w:val="none" w:sz="0" w:space="0" w:color="auto"/>
        <w:right w:val="none" w:sz="0" w:space="0" w:color="auto"/>
      </w:divBdr>
    </w:div>
    <w:div w:id="603728768">
      <w:bodyDiv w:val="1"/>
      <w:marLeft w:val="0"/>
      <w:marRight w:val="0"/>
      <w:marTop w:val="0"/>
      <w:marBottom w:val="0"/>
      <w:divBdr>
        <w:top w:val="none" w:sz="0" w:space="0" w:color="auto"/>
        <w:left w:val="none" w:sz="0" w:space="0" w:color="auto"/>
        <w:bottom w:val="none" w:sz="0" w:space="0" w:color="auto"/>
        <w:right w:val="none" w:sz="0" w:space="0" w:color="auto"/>
      </w:divBdr>
    </w:div>
    <w:div w:id="916591840">
      <w:bodyDiv w:val="1"/>
      <w:marLeft w:val="0"/>
      <w:marRight w:val="0"/>
      <w:marTop w:val="0"/>
      <w:marBottom w:val="0"/>
      <w:divBdr>
        <w:top w:val="none" w:sz="0" w:space="0" w:color="auto"/>
        <w:left w:val="none" w:sz="0" w:space="0" w:color="auto"/>
        <w:bottom w:val="none" w:sz="0" w:space="0" w:color="auto"/>
        <w:right w:val="none" w:sz="0" w:space="0" w:color="auto"/>
      </w:divBdr>
    </w:div>
    <w:div w:id="998773416">
      <w:bodyDiv w:val="1"/>
      <w:marLeft w:val="0"/>
      <w:marRight w:val="0"/>
      <w:marTop w:val="0"/>
      <w:marBottom w:val="0"/>
      <w:divBdr>
        <w:top w:val="none" w:sz="0" w:space="0" w:color="auto"/>
        <w:left w:val="none" w:sz="0" w:space="0" w:color="auto"/>
        <w:bottom w:val="none" w:sz="0" w:space="0" w:color="auto"/>
        <w:right w:val="none" w:sz="0" w:space="0" w:color="auto"/>
      </w:divBdr>
    </w:div>
    <w:div w:id="1341814279">
      <w:bodyDiv w:val="1"/>
      <w:marLeft w:val="0"/>
      <w:marRight w:val="0"/>
      <w:marTop w:val="0"/>
      <w:marBottom w:val="0"/>
      <w:divBdr>
        <w:top w:val="none" w:sz="0" w:space="0" w:color="auto"/>
        <w:left w:val="none" w:sz="0" w:space="0" w:color="auto"/>
        <w:bottom w:val="none" w:sz="0" w:space="0" w:color="auto"/>
        <w:right w:val="none" w:sz="0" w:space="0" w:color="auto"/>
      </w:divBdr>
    </w:div>
    <w:div w:id="1570459866">
      <w:bodyDiv w:val="1"/>
      <w:marLeft w:val="0"/>
      <w:marRight w:val="0"/>
      <w:marTop w:val="0"/>
      <w:marBottom w:val="0"/>
      <w:divBdr>
        <w:top w:val="none" w:sz="0" w:space="0" w:color="auto"/>
        <w:left w:val="none" w:sz="0" w:space="0" w:color="auto"/>
        <w:bottom w:val="none" w:sz="0" w:space="0" w:color="auto"/>
        <w:right w:val="none" w:sz="0" w:space="0" w:color="auto"/>
      </w:divBdr>
    </w:div>
    <w:div w:id="1713380425">
      <w:bodyDiv w:val="1"/>
      <w:marLeft w:val="0"/>
      <w:marRight w:val="0"/>
      <w:marTop w:val="0"/>
      <w:marBottom w:val="0"/>
      <w:divBdr>
        <w:top w:val="none" w:sz="0" w:space="0" w:color="auto"/>
        <w:left w:val="none" w:sz="0" w:space="0" w:color="auto"/>
        <w:bottom w:val="none" w:sz="0" w:space="0" w:color="auto"/>
        <w:right w:val="none" w:sz="0" w:space="0" w:color="auto"/>
      </w:divBdr>
    </w:div>
    <w:div w:id="1933970601">
      <w:bodyDiv w:val="1"/>
      <w:marLeft w:val="0"/>
      <w:marRight w:val="0"/>
      <w:marTop w:val="0"/>
      <w:marBottom w:val="0"/>
      <w:divBdr>
        <w:top w:val="none" w:sz="0" w:space="0" w:color="auto"/>
        <w:left w:val="none" w:sz="0" w:space="0" w:color="auto"/>
        <w:bottom w:val="none" w:sz="0" w:space="0" w:color="auto"/>
        <w:right w:val="none" w:sz="0" w:space="0" w:color="auto"/>
      </w:divBdr>
    </w:div>
    <w:div w:id="2035959539">
      <w:bodyDiv w:val="1"/>
      <w:marLeft w:val="0"/>
      <w:marRight w:val="0"/>
      <w:marTop w:val="0"/>
      <w:marBottom w:val="0"/>
      <w:divBdr>
        <w:top w:val="none" w:sz="0" w:space="0" w:color="auto"/>
        <w:left w:val="none" w:sz="0" w:space="0" w:color="auto"/>
        <w:bottom w:val="none" w:sz="0" w:space="0" w:color="auto"/>
        <w:right w:val="none" w:sz="0" w:space="0" w:color="auto"/>
      </w:divBdr>
    </w:div>
    <w:div w:id="21342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pmorganchase.com/advancingc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pact.jpmorganchase.com/impact/communities/advancingcit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pmorganchase.com/corporate/Corporate-Responsibility/cr-2016-3-impact-model.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pmorganchase.com/impact/path-forward?tab=our-commitments" TargetMode="External"/><Relationship Id="rId4" Type="http://schemas.openxmlformats.org/officeDocument/2006/relationships/settings" Target="settings.xml"/><Relationship Id="rId9" Type="http://schemas.openxmlformats.org/officeDocument/2006/relationships/hyperlink" Target="mailto:amalia.kontesi@jpmchas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67E6C-4CB3-464D-9AFA-F5FFD00B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JPMorgan Chase &amp; Co.</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Ferrer, Maribel</dc:creator>
  <cp:keywords/>
  <dc:description/>
  <cp:lastModifiedBy>Beth Yeap</cp:lastModifiedBy>
  <cp:revision>5</cp:revision>
  <dcterms:created xsi:type="dcterms:W3CDTF">2020-12-01T00:07:00Z</dcterms:created>
  <dcterms:modified xsi:type="dcterms:W3CDTF">2020-12-04T18:17:00Z</dcterms:modified>
</cp:coreProperties>
</file>